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F" w:rsidRDefault="00CB29CF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</w:p>
    <w:p w:rsidR="002E3289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F1D7D">
        <w:rPr>
          <w:rStyle w:val="content1"/>
          <w:rFonts w:ascii="Calibri" w:hAnsi="Calibri" w:cs="Calibri"/>
          <w:b/>
          <w:sz w:val="24"/>
          <w:szCs w:val="24"/>
        </w:rPr>
        <w:t>Name of the Accountability/Quality Program:</w:t>
      </w:r>
    </w:p>
    <w:p w:rsidR="0012048A" w:rsidRDefault="0012048A" w:rsidP="002E3289">
      <w:pPr>
        <w:pStyle w:val="NormalWeb"/>
        <w:rPr>
          <w:rFonts w:ascii="Calibri" w:hAnsi="Calibri" w:cs="Calibri"/>
          <w:color w:val="333333"/>
          <w:sz w:val="24"/>
          <w:szCs w:val="24"/>
          <w:lang w:val="en"/>
        </w:rPr>
      </w:pPr>
      <w:r w:rsidRPr="0012048A">
        <w:rPr>
          <w:rFonts w:ascii="Calibri" w:hAnsi="Calibri" w:cs="Calibri"/>
          <w:color w:val="333333"/>
          <w:sz w:val="24"/>
          <w:szCs w:val="24"/>
          <w:lang w:val="en"/>
        </w:rPr>
        <w:t>Alliance for Quality Career Pathways</w:t>
      </w:r>
      <w:r>
        <w:rPr>
          <w:rFonts w:ascii="Calibri" w:hAnsi="Calibri" w:cs="Calibri"/>
          <w:color w:val="333333"/>
          <w:sz w:val="24"/>
          <w:szCs w:val="24"/>
          <w:lang w:val="en"/>
        </w:rPr>
        <w:t xml:space="preserve"> (AQCP)</w:t>
      </w:r>
    </w:p>
    <w:p w:rsidR="002E3289" w:rsidRPr="00AF1D7D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AF1D7D">
        <w:rPr>
          <w:rStyle w:val="content1"/>
          <w:rFonts w:ascii="Calibri" w:hAnsi="Calibri" w:cs="Calibri"/>
          <w:b/>
          <w:sz w:val="24"/>
          <w:szCs w:val="24"/>
        </w:rPr>
        <w:t xml:space="preserve">Authors/Sponsors/Funders, </w:t>
      </w:r>
      <w:r w:rsidR="00AF1D7D" w:rsidRPr="00AF1D7D">
        <w:rPr>
          <w:rStyle w:val="content1"/>
          <w:rFonts w:ascii="Calibri" w:hAnsi="Calibri" w:cs="Calibri"/>
          <w:b/>
          <w:sz w:val="24"/>
          <w:szCs w:val="24"/>
        </w:rPr>
        <w:t>etc.</w:t>
      </w:r>
      <w:r w:rsidRPr="00AF1D7D">
        <w:rPr>
          <w:rStyle w:val="content1"/>
          <w:rFonts w:ascii="Calibri" w:hAnsi="Calibri" w:cs="Calibri"/>
          <w:b/>
          <w:sz w:val="24"/>
          <w:szCs w:val="24"/>
        </w:rPr>
        <w:t>:</w:t>
      </w:r>
    </w:p>
    <w:p w:rsidR="002E3289" w:rsidRPr="00AF1D7D" w:rsidRDefault="0012048A" w:rsidP="002E3289">
      <w:pPr>
        <w:pStyle w:val="NormalWeb"/>
        <w:rPr>
          <w:rStyle w:val="content1"/>
          <w:rFonts w:ascii="Calibri" w:hAnsi="Calibri" w:cs="Calibri"/>
          <w:sz w:val="24"/>
          <w:szCs w:val="24"/>
        </w:rPr>
      </w:pPr>
      <w:r>
        <w:rPr>
          <w:rStyle w:val="content1"/>
          <w:rFonts w:ascii="Calibri" w:hAnsi="Calibri" w:cs="Calibri"/>
          <w:sz w:val="24"/>
          <w:szCs w:val="24"/>
        </w:rPr>
        <w:t>CLASP</w:t>
      </w:r>
      <w:r w:rsidR="006C3503">
        <w:rPr>
          <w:rStyle w:val="content1"/>
          <w:rFonts w:ascii="Calibri" w:hAnsi="Calibri" w:cs="Calibri"/>
          <w:sz w:val="24"/>
          <w:szCs w:val="24"/>
        </w:rPr>
        <w:t xml:space="preserve"> (Center for Law and Social Policy)</w:t>
      </w:r>
    </w:p>
    <w:p w:rsidR="002E3289" w:rsidRPr="00AF1D7D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AF1D7D">
        <w:rPr>
          <w:rStyle w:val="content1"/>
          <w:rFonts w:ascii="Calibri" w:hAnsi="Calibri" w:cs="Calibri"/>
          <w:b/>
          <w:sz w:val="24"/>
          <w:szCs w:val="24"/>
        </w:rPr>
        <w:t>URL:</w:t>
      </w:r>
    </w:p>
    <w:p w:rsidR="00965C85" w:rsidRDefault="00CB29CF" w:rsidP="002E3289">
      <w:pPr>
        <w:pStyle w:val="NormalWeb"/>
      </w:pPr>
      <w:hyperlink r:id="rId8" w:history="1">
        <w:r w:rsidR="00965C85" w:rsidRPr="006F5A6A">
          <w:rPr>
            <w:rStyle w:val="Hyperlink"/>
          </w:rPr>
          <w:t>http://www.clasp.org/postsecondary/pages?id=0029</w:t>
        </w:r>
      </w:hyperlink>
    </w:p>
    <w:p w:rsidR="00CB29CF" w:rsidRDefault="00CB29CF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</w:p>
    <w:p w:rsidR="002E3289" w:rsidRPr="00AF1D7D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AF1D7D">
        <w:rPr>
          <w:rStyle w:val="content1"/>
          <w:rFonts w:ascii="Calibri" w:hAnsi="Calibri" w:cs="Calibri"/>
          <w:b/>
          <w:sz w:val="24"/>
          <w:szCs w:val="24"/>
        </w:rPr>
        <w:t>Overview:</w:t>
      </w:r>
    </w:p>
    <w:p w:rsidR="00864F13" w:rsidRDefault="00716A32" w:rsidP="00AF1D7D">
      <w:pPr>
        <w:pStyle w:val="NormalWeb"/>
        <w:shd w:val="clear" w:color="auto" w:fill="FFFFFF"/>
        <w:rPr>
          <w:rFonts w:ascii="Calibri" w:hAnsi="Calibri" w:cs="Calibri"/>
          <w:color w:val="333333"/>
          <w:sz w:val="24"/>
          <w:szCs w:val="24"/>
          <w:lang w:val="en"/>
        </w:rPr>
      </w:pPr>
      <w:r>
        <w:rPr>
          <w:rFonts w:ascii="Calibri" w:hAnsi="Calibri" w:cs="Calibri"/>
          <w:color w:val="333333"/>
          <w:sz w:val="24"/>
          <w:szCs w:val="24"/>
          <w:lang w:val="en"/>
        </w:rPr>
        <w:t>Ten states (including Washington) are meeting over the course of two-years to develop a framework of high-quality benchmarks and metrics for career pathway programs</w:t>
      </w:r>
      <w:r w:rsidR="00864F13">
        <w:rPr>
          <w:rFonts w:ascii="Calibri" w:hAnsi="Calibri" w:cs="Calibri"/>
          <w:color w:val="333333"/>
          <w:sz w:val="24"/>
          <w:szCs w:val="24"/>
          <w:lang w:val="en"/>
        </w:rPr>
        <w:t>.</w:t>
      </w:r>
      <w:r>
        <w:rPr>
          <w:rFonts w:ascii="Calibri" w:hAnsi="Calibri" w:cs="Calibri"/>
          <w:color w:val="333333"/>
          <w:sz w:val="24"/>
          <w:szCs w:val="24"/>
          <w:lang w:val="en"/>
        </w:rPr>
        <w:t xml:space="preserve"> The goal is to produce a customizable framework and self-assessment tool that can be used to enhance quality of existing career pathways, fast track and improve new career pathways, and inform evaluation(s) of career pathway efforts.  </w:t>
      </w:r>
      <w:r w:rsidR="00965C85">
        <w:rPr>
          <w:rFonts w:ascii="Calibri" w:hAnsi="Calibri" w:cs="Calibri"/>
          <w:color w:val="333333"/>
          <w:sz w:val="24"/>
          <w:szCs w:val="24"/>
          <w:lang w:val="en"/>
        </w:rPr>
        <w:t>Timeline is that b</w:t>
      </w:r>
      <w:r>
        <w:rPr>
          <w:rFonts w:ascii="Calibri" w:hAnsi="Calibri" w:cs="Calibri"/>
          <w:color w:val="333333"/>
          <w:sz w:val="24"/>
          <w:szCs w:val="24"/>
          <w:lang w:val="en"/>
        </w:rPr>
        <w:t xml:space="preserve">eta testing </w:t>
      </w:r>
      <w:r w:rsidR="00965C85">
        <w:rPr>
          <w:rFonts w:ascii="Calibri" w:hAnsi="Calibri" w:cs="Calibri"/>
          <w:color w:val="333333"/>
          <w:sz w:val="24"/>
          <w:szCs w:val="24"/>
          <w:lang w:val="en"/>
        </w:rPr>
        <w:t>among the Alliance States will occur in Spring 2013 with a full release in Spring 2014.</w:t>
      </w:r>
    </w:p>
    <w:p w:rsidR="00CB29CF" w:rsidRDefault="00CB29CF" w:rsidP="00395DB0">
      <w:pPr>
        <w:pStyle w:val="NormalWeb"/>
        <w:rPr>
          <w:rFonts w:ascii="Calibri" w:hAnsi="Calibri" w:cs="Calibri"/>
          <w:b/>
          <w:sz w:val="24"/>
          <w:szCs w:val="24"/>
        </w:rPr>
      </w:pPr>
    </w:p>
    <w:p w:rsidR="007853A4" w:rsidRDefault="002E3289" w:rsidP="00395DB0">
      <w:pPr>
        <w:pStyle w:val="NormalWeb"/>
        <w:rPr>
          <w:rFonts w:ascii="Calibri" w:hAnsi="Calibri" w:cs="Calibri"/>
          <w:b/>
          <w:sz w:val="24"/>
          <w:szCs w:val="24"/>
        </w:rPr>
      </w:pPr>
      <w:r w:rsidRPr="00AF1D7D">
        <w:rPr>
          <w:rFonts w:ascii="Calibri" w:hAnsi="Calibri" w:cs="Calibri"/>
          <w:b/>
          <w:sz w:val="24"/>
          <w:szCs w:val="24"/>
        </w:rPr>
        <w:t>Specific Measures in Program:</w:t>
      </w:r>
    </w:p>
    <w:p w:rsidR="00CB29CF" w:rsidRPr="00CB29CF" w:rsidRDefault="00CB29CF" w:rsidP="00395DB0">
      <w:pPr>
        <w:pStyle w:val="NormalWeb"/>
        <w:rPr>
          <w:rFonts w:ascii="Calibri" w:hAnsi="Calibri" w:cs="Calibri"/>
          <w:sz w:val="24"/>
          <w:szCs w:val="24"/>
        </w:rPr>
      </w:pPr>
      <w:r w:rsidRPr="00CB29CF">
        <w:rPr>
          <w:rFonts w:ascii="Calibri" w:hAnsi="Calibri" w:cs="Calibri"/>
          <w:sz w:val="24"/>
          <w:szCs w:val="24"/>
        </w:rPr>
        <w:t>TBD</w:t>
      </w:r>
    </w:p>
    <w:p w:rsidR="00700A0C" w:rsidRPr="00D86FB6" w:rsidRDefault="00700A0C" w:rsidP="00700A0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700A0C" w:rsidRPr="00D86FB6" w:rsidRDefault="00700A0C" w:rsidP="00700A0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86FB6">
        <w:rPr>
          <w:rFonts w:ascii="Calibri" w:hAnsi="Calibri" w:cs="Calibri"/>
          <w:b/>
          <w:sz w:val="24"/>
          <w:szCs w:val="24"/>
        </w:rPr>
        <w:t>Impact/Implications for Washington Community &amp; Technical Colleges:</w:t>
      </w:r>
    </w:p>
    <w:p w:rsidR="00700A0C" w:rsidRPr="00D86FB6" w:rsidRDefault="006C3503" w:rsidP="00700A0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Washington is listed as one of the participating Alliance States</w:t>
      </w:r>
      <w:r w:rsidR="00965C85">
        <w:rPr>
          <w:rFonts w:ascii="Calibri" w:hAnsi="Calibri" w:cs="Calibri"/>
          <w:sz w:val="24"/>
          <w:szCs w:val="24"/>
        </w:rPr>
        <w:t>.</w:t>
      </w:r>
    </w:p>
    <w:p w:rsidR="00700A0C" w:rsidRPr="002E3289" w:rsidRDefault="00700A0C" w:rsidP="00700A0C">
      <w:pPr>
        <w:spacing w:line="240" w:lineRule="auto"/>
      </w:pPr>
    </w:p>
    <w:p w:rsidR="002E3289" w:rsidRPr="002E3289" w:rsidRDefault="002E3289" w:rsidP="002E3289">
      <w:pPr>
        <w:spacing w:line="240" w:lineRule="auto"/>
      </w:pPr>
    </w:p>
    <w:sectPr w:rsidR="002E3289" w:rsidRPr="002E32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2D" w:rsidRDefault="00075C2D" w:rsidP="00E41221">
      <w:pPr>
        <w:spacing w:after="0" w:line="240" w:lineRule="auto"/>
      </w:pPr>
      <w:r>
        <w:separator/>
      </w:r>
    </w:p>
  </w:endnote>
  <w:endnote w:type="continuationSeparator" w:id="0">
    <w:p w:rsidR="00075C2D" w:rsidRDefault="00075C2D" w:rsidP="00E4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D" w:rsidRPr="00AF1D7D" w:rsidRDefault="006C3503" w:rsidP="00AF1D7D">
    <w:pPr>
      <w:pStyle w:val="Footer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color w:val="333333"/>
        <w:sz w:val="24"/>
        <w:szCs w:val="24"/>
        <w:lang w:val="en"/>
      </w:rPr>
      <w:t>ACQP</w:t>
    </w:r>
    <w:r w:rsidR="00716A32">
      <w:rPr>
        <w:rFonts w:ascii="Calibri" w:hAnsi="Calibri" w:cs="Calibri"/>
        <w:color w:val="333333"/>
        <w:sz w:val="24"/>
        <w:szCs w:val="24"/>
        <w:lang w:val="en"/>
      </w:rPr>
      <w:t xml:space="preserve"> </w:t>
    </w:r>
    <w:r>
      <w:rPr>
        <w:rFonts w:ascii="Calibri" w:hAnsi="Calibri" w:cs="Calibri"/>
        <w:color w:val="333333"/>
        <w:sz w:val="24"/>
        <w:szCs w:val="24"/>
        <w:lang w:val="en"/>
      </w:rPr>
      <w:t>(</w:t>
    </w:r>
    <w:r w:rsidR="00716A32">
      <w:rPr>
        <w:rFonts w:ascii="Calibri" w:hAnsi="Calibri" w:cs="Calibri"/>
        <w:color w:val="333333"/>
        <w:sz w:val="24"/>
        <w:szCs w:val="24"/>
        <w:lang w:val="en"/>
      </w:rPr>
      <w:t>Alliance for Quality Career Pathways)</w:t>
    </w:r>
    <w:r w:rsidR="00075C2D" w:rsidRPr="00AF1D7D">
      <w:rPr>
        <w:rFonts w:ascii="Calibri" w:hAnsi="Calibri" w:cs="Calibri"/>
        <w:color w:val="333333"/>
        <w:sz w:val="24"/>
        <w:szCs w:val="24"/>
        <w:lang w:val="en"/>
      </w:rPr>
      <w:t xml:space="preserve"> </w:t>
    </w:r>
    <w:r w:rsidR="001345AD">
      <w:rPr>
        <w:rFonts w:ascii="Calibri" w:hAnsi="Calibri" w:cs="Calibri"/>
        <w:color w:val="333333"/>
        <w:sz w:val="24"/>
        <w:szCs w:val="24"/>
        <w:lang w:val="en"/>
      </w:rPr>
      <w:t>–</w:t>
    </w:r>
    <w:r w:rsidR="00075C2D" w:rsidRPr="00AF1D7D">
      <w:rPr>
        <w:rFonts w:ascii="Calibri" w:hAnsi="Calibri" w:cs="Calibri"/>
        <w:color w:val="333333"/>
        <w:sz w:val="24"/>
        <w:szCs w:val="24"/>
        <w:lang w:val="en"/>
      </w:rPr>
      <w:t xml:space="preserve"> </w:t>
    </w:r>
    <w:r w:rsidR="001345AD">
      <w:rPr>
        <w:rFonts w:ascii="Calibri" w:hAnsi="Calibri" w:cs="Calibri"/>
        <w:color w:val="333333"/>
        <w:sz w:val="24"/>
        <w:szCs w:val="24"/>
        <w:lang w:val="en"/>
      </w:rPr>
      <w:t>Spring 2013</w:t>
    </w:r>
  </w:p>
  <w:p w:rsidR="00075C2D" w:rsidRDefault="00075C2D" w:rsidP="00E412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2D" w:rsidRDefault="00075C2D" w:rsidP="00E41221">
      <w:pPr>
        <w:spacing w:after="0" w:line="240" w:lineRule="auto"/>
      </w:pPr>
      <w:r>
        <w:separator/>
      </w:r>
    </w:p>
  </w:footnote>
  <w:footnote w:type="continuationSeparator" w:id="0">
    <w:p w:rsidR="00075C2D" w:rsidRDefault="00075C2D" w:rsidP="00E4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D" w:rsidRPr="00AF1D7D" w:rsidRDefault="00075C2D" w:rsidP="00E41221">
    <w:pPr>
      <w:pStyle w:val="Header"/>
      <w:jc w:val="center"/>
      <w:rPr>
        <w:sz w:val="24"/>
        <w:szCs w:val="24"/>
      </w:rPr>
    </w:pPr>
    <w:r w:rsidRPr="00AF1D7D">
      <w:rPr>
        <w:sz w:val="24"/>
        <w:szCs w:val="24"/>
      </w:rPr>
      <w:t>Research and Planning Commission</w:t>
    </w:r>
  </w:p>
  <w:p w:rsidR="00075C2D" w:rsidRPr="00AF1D7D" w:rsidRDefault="00075C2D" w:rsidP="00E41221">
    <w:pPr>
      <w:pStyle w:val="Header"/>
      <w:jc w:val="center"/>
      <w:rPr>
        <w:sz w:val="24"/>
        <w:szCs w:val="24"/>
      </w:rPr>
    </w:pPr>
    <w:r w:rsidRPr="00AF1D7D">
      <w:rPr>
        <w:sz w:val="24"/>
        <w:szCs w:val="24"/>
      </w:rPr>
      <w:t>Accountability and Quality Measures</w:t>
    </w:r>
  </w:p>
  <w:p w:rsidR="00075C2D" w:rsidRDefault="00075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42A8"/>
    <w:multiLevelType w:val="hybridMultilevel"/>
    <w:tmpl w:val="EB74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21"/>
    <w:rsid w:val="00075C2D"/>
    <w:rsid w:val="0012048A"/>
    <w:rsid w:val="001345AD"/>
    <w:rsid w:val="00142498"/>
    <w:rsid w:val="002E3289"/>
    <w:rsid w:val="00313CB5"/>
    <w:rsid w:val="00370DFF"/>
    <w:rsid w:val="00395DB0"/>
    <w:rsid w:val="006C3503"/>
    <w:rsid w:val="00700A0C"/>
    <w:rsid w:val="00716A32"/>
    <w:rsid w:val="00761F4D"/>
    <w:rsid w:val="007853A4"/>
    <w:rsid w:val="00864F13"/>
    <w:rsid w:val="00965C85"/>
    <w:rsid w:val="00AF1D7D"/>
    <w:rsid w:val="00CA7CB2"/>
    <w:rsid w:val="00CB29CF"/>
    <w:rsid w:val="00D834B3"/>
    <w:rsid w:val="00E41221"/>
    <w:rsid w:val="00F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ntent1">
    <w:name w:val="content1"/>
    <w:basedOn w:val="DefaultParagraphFont"/>
    <w:rsid w:val="00E41221"/>
    <w:rPr>
      <w:rFonts w:ascii="Verdana" w:hAnsi="Verdana" w:hint="default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21"/>
  </w:style>
  <w:style w:type="paragraph" w:styleId="Footer">
    <w:name w:val="footer"/>
    <w:basedOn w:val="Normal"/>
    <w:link w:val="Foot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21"/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ntent1">
    <w:name w:val="content1"/>
    <w:basedOn w:val="DefaultParagraphFont"/>
    <w:rsid w:val="00E41221"/>
    <w:rPr>
      <w:rFonts w:ascii="Verdana" w:hAnsi="Verdana" w:hint="default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21"/>
  </w:style>
  <w:style w:type="paragraph" w:styleId="Footer">
    <w:name w:val="footer"/>
    <w:basedOn w:val="Normal"/>
    <w:link w:val="Foot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21"/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4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1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638">
                                  <w:marLeft w:val="6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81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649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p.org/postsecondary/pages?id=00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Maureen Pettitt</cp:lastModifiedBy>
  <cp:revision>3</cp:revision>
  <dcterms:created xsi:type="dcterms:W3CDTF">2013-06-17T18:12:00Z</dcterms:created>
  <dcterms:modified xsi:type="dcterms:W3CDTF">2013-06-17T18:13:00Z</dcterms:modified>
</cp:coreProperties>
</file>