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A" w:rsidRPr="0053012C" w:rsidRDefault="003B410A" w:rsidP="00EE455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3012C">
        <w:rPr>
          <w:rFonts w:cs="Times New Roman"/>
          <w:b/>
          <w:sz w:val="24"/>
          <w:szCs w:val="24"/>
        </w:rPr>
        <w:t>Research and Planning Commission</w:t>
      </w:r>
    </w:p>
    <w:p w:rsidR="000200DA" w:rsidRPr="0053012C" w:rsidRDefault="003B410A" w:rsidP="00EE455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3012C">
        <w:rPr>
          <w:rFonts w:cs="Times New Roman"/>
          <w:b/>
          <w:sz w:val="24"/>
          <w:szCs w:val="24"/>
        </w:rPr>
        <w:t xml:space="preserve">Accountability and Quality Measures </w:t>
      </w:r>
    </w:p>
    <w:p w:rsidR="003B410A" w:rsidRPr="0053012C" w:rsidRDefault="003B410A" w:rsidP="00EE4554">
      <w:pPr>
        <w:spacing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53012C" w:rsidRDefault="0053012C" w:rsidP="00947CDB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53012C" w:rsidRDefault="0053012C" w:rsidP="0053012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Accountability/Quality Program:</w:t>
      </w:r>
    </w:p>
    <w:p w:rsidR="0053012C" w:rsidRPr="0053012C" w:rsidRDefault="0053012C" w:rsidP="00947CDB">
      <w:p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National Community College Benchmark Project</w:t>
      </w:r>
    </w:p>
    <w:p w:rsidR="0053012C" w:rsidRDefault="0053012C" w:rsidP="00947CDB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180074" w:rsidRPr="0053012C" w:rsidRDefault="00C205D8" w:rsidP="00947CDB">
      <w:p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b/>
          <w:sz w:val="24"/>
          <w:szCs w:val="24"/>
        </w:rPr>
        <w:t>Note:</w:t>
      </w:r>
      <w:r w:rsidRPr="0053012C">
        <w:rPr>
          <w:rFonts w:eastAsia="Times New Roman" w:cs="Times New Roman"/>
          <w:sz w:val="24"/>
          <w:szCs w:val="24"/>
        </w:rPr>
        <w:t xml:space="preserve"> Taken together, the two accountability projects described below comprise the National Higher Education Benchmarking Institute, the largest provider of community college benchmarking and peer comparison services in the country.  </w:t>
      </w:r>
      <w:r w:rsidR="00947CDB" w:rsidRPr="0053012C">
        <w:rPr>
          <w:rFonts w:eastAsia="Times New Roman" w:cs="Times New Roman"/>
          <w:sz w:val="24"/>
          <w:szCs w:val="24"/>
        </w:rPr>
        <w:t xml:space="preserve">The National Higher Education Benchmarking Institute (NHEBI) at Johnson County Community College has worked with more than 450 community colleges on two national data consortia, </w:t>
      </w:r>
      <w:hyperlink r:id="rId8" w:tooltip="Cost and Productivity Project" w:history="1">
        <w:r w:rsidR="00947CDB" w:rsidRPr="0053012C">
          <w:rPr>
            <w:rFonts w:eastAsia="Times New Roman" w:cs="Times New Roman"/>
            <w:color w:val="0000FF"/>
            <w:sz w:val="24"/>
            <w:szCs w:val="24"/>
            <w:u w:val="single"/>
          </w:rPr>
          <w:t>National Community College Cost and Productivity Project</w:t>
        </w:r>
      </w:hyperlink>
      <w:r w:rsidR="00947CDB" w:rsidRPr="0053012C">
        <w:rPr>
          <w:rFonts w:eastAsia="Times New Roman" w:cs="Times New Roman"/>
          <w:sz w:val="24"/>
          <w:szCs w:val="24"/>
        </w:rPr>
        <w:t xml:space="preserve"> (Cost and Productivity Project, formerly "The Kansas Study") and the </w:t>
      </w:r>
      <w:hyperlink r:id="rId9" w:tooltip="NCCBP" w:history="1">
        <w:r w:rsidR="00947CDB" w:rsidRPr="0053012C">
          <w:rPr>
            <w:rFonts w:eastAsia="Times New Roman" w:cs="Times New Roman"/>
            <w:color w:val="0000FF"/>
            <w:sz w:val="24"/>
            <w:szCs w:val="24"/>
            <w:u w:val="single"/>
          </w:rPr>
          <w:t>National Community College Benchmark Project</w:t>
        </w:r>
      </w:hyperlink>
      <w:r w:rsidR="00947CDB" w:rsidRPr="0053012C">
        <w:rPr>
          <w:rFonts w:eastAsia="Times New Roman" w:cs="Times New Roman"/>
          <w:sz w:val="24"/>
          <w:szCs w:val="24"/>
        </w:rPr>
        <w:t xml:space="preserve"> (NCCBP). </w:t>
      </w:r>
    </w:p>
    <w:p w:rsidR="00180074" w:rsidRPr="0053012C" w:rsidRDefault="00180074" w:rsidP="00947CDB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80074" w:rsidRPr="0053012C" w:rsidRDefault="0053012C" w:rsidP="0053012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Authors/Sponsors/Funders, etc.:</w:t>
      </w:r>
    </w:p>
    <w:p w:rsidR="00493DE2" w:rsidRPr="0053012C" w:rsidRDefault="00947CDB" w:rsidP="00F54ED9">
      <w:pPr>
        <w:spacing w:line="240" w:lineRule="auto"/>
        <w:rPr>
          <w:b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 xml:space="preserve">The foundations of NHEBI were laid when Dr. Jeff </w:t>
      </w:r>
      <w:proofErr w:type="spellStart"/>
      <w:r w:rsidRPr="0053012C">
        <w:rPr>
          <w:rFonts w:eastAsia="Times New Roman" w:cs="Times New Roman"/>
          <w:sz w:val="24"/>
          <w:szCs w:val="24"/>
        </w:rPr>
        <w:t>Seybert</w:t>
      </w:r>
      <w:proofErr w:type="spellEnd"/>
      <w:r w:rsidRPr="0053012C">
        <w:rPr>
          <w:rFonts w:eastAsia="Times New Roman" w:cs="Times New Roman"/>
          <w:sz w:val="24"/>
          <w:szCs w:val="24"/>
        </w:rPr>
        <w:t xml:space="preserve"> received funding from the Department of Education's Fund for the Improvement of Postsecondary Education (FIPSE) to establish "The Kansas Study</w:t>
      </w:r>
      <w:r w:rsidR="00F54ED9" w:rsidRPr="0053012C">
        <w:rPr>
          <w:rFonts w:eastAsia="Times New Roman" w:cs="Times New Roman"/>
          <w:sz w:val="24"/>
          <w:szCs w:val="24"/>
        </w:rPr>
        <w:t xml:space="preserve">” [a precursor to the cost and productivity project]. </w:t>
      </w:r>
      <w:r w:rsidRPr="0053012C">
        <w:rPr>
          <w:rFonts w:eastAsia="Times New Roman" w:cs="Times New Roman"/>
          <w:sz w:val="24"/>
          <w:szCs w:val="24"/>
        </w:rPr>
        <w:t xml:space="preserve">At the same time the NCCBP was conceived with the generous support of Johnson County Community College. </w:t>
      </w:r>
      <w:r w:rsidRPr="0053012C">
        <w:rPr>
          <w:rFonts w:eastAsia="Times New Roman" w:cs="Times New Roman"/>
          <w:sz w:val="24"/>
          <w:szCs w:val="24"/>
        </w:rPr>
        <w:br/>
      </w:r>
    </w:p>
    <w:p w:rsidR="00EE4554" w:rsidRPr="0053012C" w:rsidRDefault="0053012C" w:rsidP="00F54E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URL:</w:t>
      </w:r>
    </w:p>
    <w:p w:rsidR="00493DE2" w:rsidRPr="0053012C" w:rsidRDefault="00B32FFA" w:rsidP="00B32FFA">
      <w:pPr>
        <w:spacing w:line="240" w:lineRule="auto"/>
        <w:rPr>
          <w:rFonts w:cs="Times New Roman"/>
          <w:sz w:val="24"/>
          <w:szCs w:val="24"/>
        </w:rPr>
      </w:pPr>
      <w:r w:rsidRPr="0053012C">
        <w:rPr>
          <w:rFonts w:cs="Times New Roman"/>
          <w:sz w:val="24"/>
          <w:szCs w:val="24"/>
        </w:rPr>
        <w:t>Note: The following two URLs are inter-connected.  If you type NHEBI into Google, it takes you to a page within the NCCCPP site.</w:t>
      </w:r>
    </w:p>
    <w:p w:rsidR="00180074" w:rsidRPr="0053012C" w:rsidRDefault="00B32FFA" w:rsidP="00B32FF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53012C">
        <w:rPr>
          <w:rFonts w:cs="Times New Roman"/>
          <w:sz w:val="24"/>
          <w:szCs w:val="24"/>
        </w:rPr>
        <w:t xml:space="preserve">Cost and Productivity Project: </w:t>
      </w:r>
      <w:hyperlink r:id="rId10" w:history="1">
        <w:r w:rsidR="00180074" w:rsidRPr="0053012C">
          <w:rPr>
            <w:rStyle w:val="Hyperlink"/>
            <w:rFonts w:cs="Times New Roman"/>
            <w:sz w:val="24"/>
            <w:szCs w:val="24"/>
          </w:rPr>
          <w:t>https://ncccpp.org/</w:t>
        </w:r>
      </w:hyperlink>
    </w:p>
    <w:p w:rsidR="00180074" w:rsidRPr="0053012C" w:rsidRDefault="00B32FFA" w:rsidP="00B32FF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53012C">
        <w:rPr>
          <w:rFonts w:cs="Times New Roman"/>
          <w:sz w:val="24"/>
          <w:szCs w:val="24"/>
        </w:rPr>
        <w:t xml:space="preserve">Benchmark Project: </w:t>
      </w:r>
      <w:hyperlink r:id="rId11" w:history="1">
        <w:r w:rsidR="00C205D8" w:rsidRPr="0053012C">
          <w:rPr>
            <w:rStyle w:val="Hyperlink"/>
            <w:rFonts w:cs="Times New Roman"/>
            <w:sz w:val="24"/>
            <w:szCs w:val="24"/>
          </w:rPr>
          <w:t>http://www.nccbp.org/</w:t>
        </w:r>
      </w:hyperlink>
    </w:p>
    <w:p w:rsidR="00C205D8" w:rsidRPr="0053012C" w:rsidRDefault="00C205D8" w:rsidP="00B32FFA">
      <w:pPr>
        <w:spacing w:line="240" w:lineRule="auto"/>
        <w:rPr>
          <w:rFonts w:cs="Times New Roman"/>
          <w:sz w:val="24"/>
          <w:szCs w:val="24"/>
        </w:rPr>
      </w:pPr>
    </w:p>
    <w:p w:rsidR="00EE4554" w:rsidRPr="0053012C" w:rsidRDefault="0053012C" w:rsidP="00B32FFA">
      <w:pPr>
        <w:spacing w:line="240" w:lineRule="auto"/>
        <w:rPr>
          <w:rFonts w:cs="Times New Roman"/>
          <w:b/>
          <w:sz w:val="24"/>
          <w:szCs w:val="24"/>
        </w:rPr>
      </w:pPr>
      <w:r w:rsidRPr="0053012C">
        <w:rPr>
          <w:rFonts w:cs="Times New Roman"/>
          <w:b/>
          <w:sz w:val="24"/>
          <w:szCs w:val="24"/>
        </w:rPr>
        <w:t>Overview:</w:t>
      </w:r>
    </w:p>
    <w:p w:rsidR="0050268C" w:rsidRDefault="0050268C" w:rsidP="00B32FFA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B32FFA" w:rsidRPr="0053012C" w:rsidRDefault="00B32FFA" w:rsidP="00B32FFA">
      <w:p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b/>
          <w:bCs/>
          <w:sz w:val="24"/>
          <w:szCs w:val="24"/>
        </w:rPr>
        <w:t>National Community College Cost and Productivity Project (Cost and Productivity Project</w:t>
      </w:r>
      <w:proofErr w:type="gramStart"/>
      <w:r w:rsidRPr="0053012C">
        <w:rPr>
          <w:rFonts w:eastAsia="Times New Roman" w:cs="Times New Roman"/>
          <w:b/>
          <w:bCs/>
          <w:sz w:val="24"/>
          <w:szCs w:val="24"/>
        </w:rPr>
        <w:t>) :</w:t>
      </w:r>
      <w:proofErr w:type="gramEnd"/>
      <w:r w:rsidRPr="0053012C">
        <w:rPr>
          <w:rFonts w:eastAsia="Times New Roman" w:cs="Times New Roman"/>
          <w:sz w:val="24"/>
          <w:szCs w:val="24"/>
        </w:rPr>
        <w:t xml:space="preserve">The Cost and Productivity Project was created as the Kansas Study of Community College Instructional Costs and Productivity in 2004. The Cost and Productivity Project provides discipline-level data and benchmarks for staffing plans and decisions about faculty positions, for academic program planning and assessment, and for documentation of compliance for accreditation purposes. </w:t>
      </w:r>
      <w:r w:rsidRPr="0053012C">
        <w:rPr>
          <w:rFonts w:eastAsia="Times New Roman" w:cs="Times New Roman"/>
          <w:sz w:val="24"/>
          <w:szCs w:val="24"/>
        </w:rPr>
        <w:br/>
      </w:r>
      <w:r w:rsidRPr="0053012C">
        <w:rPr>
          <w:rFonts w:eastAsia="Times New Roman" w:cs="Times New Roman"/>
          <w:sz w:val="24"/>
          <w:szCs w:val="24"/>
        </w:rPr>
        <w:br/>
      </w:r>
      <w:r w:rsidRPr="0053012C">
        <w:rPr>
          <w:rFonts w:eastAsia="Times New Roman" w:cs="Times New Roman"/>
          <w:b/>
          <w:bCs/>
          <w:sz w:val="24"/>
          <w:szCs w:val="24"/>
        </w:rPr>
        <w:t xml:space="preserve">National Community College Benchmark Project (NCCBP: </w:t>
      </w:r>
      <w:r w:rsidRPr="0053012C">
        <w:rPr>
          <w:rFonts w:eastAsia="Times New Roman" w:cs="Times New Roman"/>
          <w:sz w:val="24"/>
          <w:szCs w:val="24"/>
        </w:rPr>
        <w:t xml:space="preserve">Responding to requirements for inter-institutional comparisons, Johnson County Community College established the National Community College Benchmark Project (NCCBP) with other colleges from across the United States to standardize a nation-wide benchmark reporting process. The NCCBP provides institutions with high-level benchmarks on institutional demographics, student outcomes, student demographics, financial, HR and workforce development data. </w:t>
      </w:r>
    </w:p>
    <w:p w:rsidR="00B32FFA" w:rsidRPr="0053012C" w:rsidRDefault="00B32FFA" w:rsidP="003B410A">
      <w:pPr>
        <w:rPr>
          <w:b/>
          <w:sz w:val="24"/>
          <w:szCs w:val="24"/>
        </w:rPr>
      </w:pPr>
    </w:p>
    <w:p w:rsidR="0053012C" w:rsidRDefault="0053012C" w:rsidP="003B410A">
      <w:pPr>
        <w:rPr>
          <w:b/>
          <w:sz w:val="24"/>
          <w:szCs w:val="24"/>
        </w:rPr>
      </w:pPr>
    </w:p>
    <w:p w:rsidR="00EE4554" w:rsidRPr="0053012C" w:rsidRDefault="0053012C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Specific Measures in Program</w:t>
      </w:r>
    </w:p>
    <w:p w:rsidR="00A03A64" w:rsidRPr="0053012C" w:rsidRDefault="00A03A64" w:rsidP="00A03A64">
      <w:p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b/>
          <w:sz w:val="24"/>
          <w:szCs w:val="24"/>
        </w:rPr>
        <w:t>The Cost and Productivity Project</w:t>
      </w:r>
      <w:r w:rsidRPr="0053012C">
        <w:rPr>
          <w:rFonts w:eastAsia="Times New Roman" w:cs="Times New Roman"/>
          <w:sz w:val="24"/>
          <w:szCs w:val="24"/>
        </w:rPr>
        <w:t xml:space="preserve"> provides the following benchmarks at the discipline level:</w:t>
      </w:r>
    </w:p>
    <w:p w:rsidR="00A03A64" w:rsidRPr="0053012C" w:rsidRDefault="00A03A64" w:rsidP="00A03A64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Instructional costs per student credit hour</w:t>
      </w:r>
    </w:p>
    <w:p w:rsidR="00A03A64" w:rsidRPr="0053012C" w:rsidRDefault="00A03A64" w:rsidP="00A03A64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Student-faculty ratios</w:t>
      </w:r>
    </w:p>
    <w:p w:rsidR="00A03A64" w:rsidRPr="0053012C" w:rsidRDefault="00A03A64" w:rsidP="00A03A64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Workload by full-time, part-time, other faculty</w:t>
      </w:r>
    </w:p>
    <w:p w:rsidR="00EE4554" w:rsidRDefault="00A03A64" w:rsidP="0053012C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Students taught by full-time, part-time, other faculty</w:t>
      </w:r>
    </w:p>
    <w:p w:rsidR="0053012C" w:rsidRPr="0053012C" w:rsidRDefault="0053012C" w:rsidP="0053012C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</w:p>
    <w:p w:rsidR="0053012C" w:rsidRDefault="00A03A64" w:rsidP="00B32FFA">
      <w:p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b/>
          <w:sz w:val="24"/>
          <w:szCs w:val="24"/>
        </w:rPr>
        <w:t>The Benchmark Project</w:t>
      </w:r>
      <w:r w:rsidR="00B32FFA" w:rsidRPr="0053012C">
        <w:rPr>
          <w:rFonts w:eastAsia="Times New Roman" w:cs="Times New Roman"/>
          <w:b/>
          <w:sz w:val="24"/>
          <w:szCs w:val="24"/>
        </w:rPr>
        <w:t xml:space="preserve"> </w:t>
      </w:r>
      <w:r w:rsidR="00B32FFA" w:rsidRPr="0053012C">
        <w:rPr>
          <w:rFonts w:eastAsia="Times New Roman" w:cs="Times New Roman"/>
          <w:sz w:val="24"/>
          <w:szCs w:val="24"/>
        </w:rPr>
        <w:t>members receive</w:t>
      </w:r>
      <w:r w:rsidR="0053012C">
        <w:rPr>
          <w:rFonts w:eastAsia="Times New Roman" w:cs="Times New Roman"/>
          <w:sz w:val="24"/>
          <w:szCs w:val="24"/>
        </w:rPr>
        <w:t xml:space="preserve"> reports including normed benchmarks for: </w:t>
      </w:r>
    </w:p>
    <w:p w:rsidR="0053012C" w:rsidRPr="0053012C" w:rsidRDefault="0053012C" w:rsidP="0053012C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Completion &amp; Transfer</w:t>
      </w:r>
    </w:p>
    <w:p w:rsidR="0053012C" w:rsidRPr="0053012C" w:rsidRDefault="0053012C" w:rsidP="0053012C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Retention &amp; Persistence</w:t>
      </w:r>
    </w:p>
    <w:p w:rsidR="0053012C" w:rsidRPr="0053012C" w:rsidRDefault="0053012C" w:rsidP="0053012C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Student Performance</w:t>
      </w:r>
    </w:p>
    <w:p w:rsidR="0053012C" w:rsidRPr="0053012C" w:rsidRDefault="0053012C" w:rsidP="0053012C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Satisfaction &amp; Engagement</w:t>
      </w:r>
    </w:p>
    <w:p w:rsidR="0053012C" w:rsidRPr="0053012C" w:rsidRDefault="0053012C" w:rsidP="0053012C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Job Market</w:t>
      </w:r>
    </w:p>
    <w:p w:rsidR="0053012C" w:rsidRPr="0053012C" w:rsidRDefault="0053012C" w:rsidP="0053012C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3012C">
        <w:rPr>
          <w:rFonts w:eastAsia="Times New Roman" w:cs="Times New Roman"/>
          <w:sz w:val="24"/>
          <w:szCs w:val="24"/>
        </w:rPr>
        <w:t>Other Institutional Effectiveness Metrics</w:t>
      </w:r>
    </w:p>
    <w:p w:rsidR="0053012C" w:rsidRDefault="0053012C" w:rsidP="00B32FFA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Specifics are provided on the NCCBP website.</w:t>
      </w:r>
    </w:p>
    <w:p w:rsidR="008D2F6D" w:rsidRPr="0053012C" w:rsidRDefault="008D2F6D" w:rsidP="00A43EA6">
      <w:pPr>
        <w:spacing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EE4554" w:rsidRPr="0053012C" w:rsidRDefault="00EE4554" w:rsidP="00A43EA6">
      <w:pPr>
        <w:spacing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C65033" w:rsidRDefault="0053012C" w:rsidP="0053012C">
      <w:pPr>
        <w:spacing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Impact/Implications for Washington Community &amp; Technical Colleges:</w:t>
      </w:r>
    </w:p>
    <w:p w:rsidR="0053012C" w:rsidRDefault="0053012C" w:rsidP="0053012C">
      <w:pPr>
        <w:spacing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53012C" w:rsidRPr="0053012C" w:rsidRDefault="0053012C" w:rsidP="0053012C">
      <w:pPr>
        <w:pStyle w:val="ListParagraph"/>
        <w:numPr>
          <w:ilvl w:val="0"/>
          <w:numId w:val="6"/>
        </w:numPr>
        <w:spacing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53012C">
        <w:rPr>
          <w:rFonts w:eastAsia="Times New Roman" w:cs="Times New Roman"/>
          <w:bCs/>
          <w:sz w:val="24"/>
          <w:szCs w:val="24"/>
        </w:rPr>
        <w:t xml:space="preserve">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523367" w:rsidRPr="0053012C" w:rsidTr="00EE4554">
        <w:tc>
          <w:tcPr>
            <w:tcW w:w="3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23367" w:rsidRPr="0053012C" w:rsidRDefault="00523367" w:rsidP="003B410A">
            <w:pPr>
              <w:rPr>
                <w:rFonts w:cs="Times New Roman"/>
                <w:b/>
                <w:sz w:val="24"/>
                <w:szCs w:val="24"/>
              </w:rPr>
            </w:pPr>
            <w:r w:rsidRPr="0053012C">
              <w:rPr>
                <w:rFonts w:cs="Times New Roman"/>
                <w:b/>
                <w:sz w:val="24"/>
                <w:szCs w:val="24"/>
              </w:rPr>
              <w:t>2013 Annual Fees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23367" w:rsidRPr="0053012C" w:rsidRDefault="00523367" w:rsidP="00832F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12C">
              <w:rPr>
                <w:rFonts w:cs="Times New Roman"/>
                <w:b/>
                <w:sz w:val="24"/>
                <w:szCs w:val="24"/>
              </w:rPr>
              <w:t xml:space="preserve">Cost </w:t>
            </w:r>
            <w:r w:rsidR="00832FBA" w:rsidRPr="0053012C">
              <w:rPr>
                <w:rFonts w:cs="Times New Roman"/>
                <w:b/>
                <w:sz w:val="24"/>
                <w:szCs w:val="24"/>
              </w:rPr>
              <w:t>&amp;</w:t>
            </w:r>
            <w:r w:rsidRPr="0053012C">
              <w:rPr>
                <w:rFonts w:cs="Times New Roman"/>
                <w:b/>
                <w:sz w:val="24"/>
                <w:szCs w:val="24"/>
              </w:rPr>
              <w:t xml:space="preserve"> Productivity</w:t>
            </w:r>
            <w:r w:rsidR="00832FBA" w:rsidRPr="0053012C">
              <w:rPr>
                <w:rFonts w:cs="Times New Roman"/>
                <w:b/>
                <w:sz w:val="24"/>
                <w:szCs w:val="24"/>
              </w:rPr>
              <w:t xml:space="preserve"> Project</w:t>
            </w:r>
            <w:r w:rsidRPr="0053012C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23367" w:rsidRPr="0053012C" w:rsidRDefault="00523367" w:rsidP="00832FB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12C">
              <w:rPr>
                <w:rFonts w:cs="Times New Roman"/>
                <w:b/>
                <w:sz w:val="24"/>
                <w:szCs w:val="24"/>
              </w:rPr>
              <w:t>Benchmark Project</w:t>
            </w:r>
          </w:p>
        </w:tc>
      </w:tr>
      <w:tr w:rsidR="00523367" w:rsidRPr="0053012C" w:rsidTr="00EE455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367" w:rsidRPr="0053012C" w:rsidRDefault="00523367" w:rsidP="00523367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Early Bird (thru 5/1)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367" w:rsidRPr="0053012C" w:rsidRDefault="00523367" w:rsidP="00832F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$1,250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367" w:rsidRPr="0053012C" w:rsidRDefault="00523367" w:rsidP="00832F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$1,250</w:t>
            </w:r>
          </w:p>
        </w:tc>
      </w:tr>
      <w:tr w:rsidR="00523367" w:rsidRPr="0053012C" w:rsidTr="00EE4554"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7" w:rsidRPr="0053012C" w:rsidRDefault="00523367" w:rsidP="003B410A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Regular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7" w:rsidRPr="0053012C" w:rsidRDefault="00523367" w:rsidP="00832F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$1,450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67" w:rsidRPr="0053012C" w:rsidRDefault="00523367" w:rsidP="00832F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$1,450</w:t>
            </w:r>
          </w:p>
        </w:tc>
      </w:tr>
    </w:tbl>
    <w:p w:rsidR="00C65033" w:rsidRDefault="00523367" w:rsidP="00EE4554">
      <w:pPr>
        <w:spacing w:after="120"/>
        <w:rPr>
          <w:rFonts w:cs="Times New Roman"/>
          <w:sz w:val="24"/>
          <w:szCs w:val="24"/>
        </w:rPr>
      </w:pPr>
      <w:r w:rsidRPr="0053012C">
        <w:rPr>
          <w:rFonts w:cs="Times New Roman"/>
          <w:sz w:val="24"/>
          <w:szCs w:val="24"/>
        </w:rPr>
        <w:t>* $250 discount if a member of the Benchmark Project</w:t>
      </w:r>
    </w:p>
    <w:p w:rsidR="0053012C" w:rsidRPr="0053012C" w:rsidRDefault="0053012C" w:rsidP="005301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53012C">
        <w:rPr>
          <w:rFonts w:cs="Times New Roman"/>
          <w:sz w:val="24"/>
          <w:szCs w:val="24"/>
        </w:rPr>
        <w:t>WA CTC’s participating</w:t>
      </w:r>
      <w:r>
        <w:rPr>
          <w:rFonts w:cs="Times New Roman"/>
          <w:sz w:val="24"/>
          <w:szCs w:val="24"/>
        </w:rPr>
        <w:t xml:space="preserve"> in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23367" w:rsidRPr="0053012C" w:rsidTr="00EE4554">
        <w:tc>
          <w:tcPr>
            <w:tcW w:w="5148" w:type="dxa"/>
            <w:shd w:val="clear" w:color="auto" w:fill="F2F2F2" w:themeFill="background1" w:themeFillShade="F2"/>
          </w:tcPr>
          <w:p w:rsidR="00523367" w:rsidRPr="0053012C" w:rsidRDefault="00523367" w:rsidP="0053012C">
            <w:pPr>
              <w:rPr>
                <w:rFonts w:cs="Times New Roman"/>
                <w:b/>
                <w:sz w:val="24"/>
                <w:szCs w:val="24"/>
              </w:rPr>
            </w:pPr>
            <w:r w:rsidRPr="0053012C">
              <w:rPr>
                <w:rFonts w:cs="Times New Roman"/>
                <w:b/>
                <w:sz w:val="24"/>
                <w:szCs w:val="24"/>
              </w:rPr>
              <w:t>Cost &amp; Productivity</w:t>
            </w:r>
            <w:r w:rsidR="00832FBA" w:rsidRPr="0053012C">
              <w:rPr>
                <w:rFonts w:cs="Times New Roman"/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523367" w:rsidRPr="0053012C" w:rsidRDefault="00523367" w:rsidP="0053012C">
            <w:pPr>
              <w:rPr>
                <w:rFonts w:cs="Times New Roman"/>
                <w:b/>
                <w:sz w:val="24"/>
                <w:szCs w:val="24"/>
              </w:rPr>
            </w:pPr>
            <w:r w:rsidRPr="0053012C">
              <w:rPr>
                <w:rFonts w:cs="Times New Roman"/>
                <w:b/>
                <w:sz w:val="24"/>
                <w:szCs w:val="24"/>
              </w:rPr>
              <w:t>Benchmark Project</w:t>
            </w:r>
          </w:p>
        </w:tc>
      </w:tr>
      <w:tr w:rsidR="00523367" w:rsidRPr="0053012C" w:rsidTr="00523367">
        <w:tc>
          <w:tcPr>
            <w:tcW w:w="5148" w:type="dxa"/>
          </w:tcPr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Highline</w:t>
            </w:r>
          </w:p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Lower Columbia</w:t>
            </w:r>
          </w:p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Skagit</w:t>
            </w:r>
          </w:p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Yakima</w:t>
            </w:r>
          </w:p>
        </w:tc>
        <w:tc>
          <w:tcPr>
            <w:tcW w:w="5148" w:type="dxa"/>
          </w:tcPr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Bellevue</w:t>
            </w:r>
          </w:p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Big Bend</w:t>
            </w:r>
          </w:p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Clark</w:t>
            </w:r>
          </w:p>
          <w:p w:rsidR="00523367" w:rsidRPr="0053012C" w:rsidRDefault="00523367" w:rsidP="0053012C">
            <w:pPr>
              <w:rPr>
                <w:rFonts w:cs="Times New Roman"/>
                <w:sz w:val="24"/>
                <w:szCs w:val="24"/>
              </w:rPr>
            </w:pPr>
            <w:r w:rsidRPr="0053012C">
              <w:rPr>
                <w:rFonts w:cs="Times New Roman"/>
                <w:sz w:val="24"/>
                <w:szCs w:val="24"/>
              </w:rPr>
              <w:t>Lower Columbia</w:t>
            </w:r>
          </w:p>
        </w:tc>
      </w:tr>
    </w:tbl>
    <w:p w:rsidR="00C65033" w:rsidRPr="0053012C" w:rsidRDefault="00C65033" w:rsidP="003B410A">
      <w:pPr>
        <w:rPr>
          <w:b/>
          <w:sz w:val="24"/>
          <w:szCs w:val="24"/>
        </w:rPr>
      </w:pPr>
    </w:p>
    <w:sectPr w:rsidR="00C65033" w:rsidRPr="0053012C" w:rsidSect="00F54ED9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8A" w:rsidRDefault="007C3B8A" w:rsidP="003B410A">
      <w:pPr>
        <w:spacing w:line="240" w:lineRule="auto"/>
      </w:pPr>
      <w:r>
        <w:separator/>
      </w:r>
    </w:p>
  </w:endnote>
  <w:endnote w:type="continuationSeparator" w:id="0">
    <w:p w:rsidR="007C3B8A" w:rsidRDefault="007C3B8A" w:rsidP="003B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D1" w:rsidRDefault="003210D1" w:rsidP="003210D1">
    <w:pPr>
      <w:pStyle w:val="Footer"/>
      <w:jc w:val="center"/>
    </w:pPr>
    <w:r>
      <w:t>National Benchmark Project – Winter 2013</w:t>
    </w:r>
  </w:p>
  <w:p w:rsidR="003B410A" w:rsidRDefault="003B4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8A" w:rsidRDefault="007C3B8A" w:rsidP="003B410A">
      <w:pPr>
        <w:spacing w:line="240" w:lineRule="auto"/>
      </w:pPr>
      <w:r>
        <w:separator/>
      </w:r>
    </w:p>
  </w:footnote>
  <w:footnote w:type="continuationSeparator" w:id="0">
    <w:p w:rsidR="007C3B8A" w:rsidRDefault="007C3B8A" w:rsidP="003B4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D01"/>
    <w:multiLevelType w:val="hybridMultilevel"/>
    <w:tmpl w:val="B86E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685"/>
    <w:multiLevelType w:val="hybridMultilevel"/>
    <w:tmpl w:val="DD5E1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E0B91"/>
    <w:multiLevelType w:val="multilevel"/>
    <w:tmpl w:val="DA0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E26C6"/>
    <w:multiLevelType w:val="multilevel"/>
    <w:tmpl w:val="7D8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65BCA"/>
    <w:multiLevelType w:val="hybridMultilevel"/>
    <w:tmpl w:val="57D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A129C"/>
    <w:multiLevelType w:val="multilevel"/>
    <w:tmpl w:val="23D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A"/>
    <w:rsid w:val="000200DA"/>
    <w:rsid w:val="000A0A13"/>
    <w:rsid w:val="000C181D"/>
    <w:rsid w:val="000F762F"/>
    <w:rsid w:val="001617C5"/>
    <w:rsid w:val="00171192"/>
    <w:rsid w:val="00180074"/>
    <w:rsid w:val="001D58CE"/>
    <w:rsid w:val="00220A8A"/>
    <w:rsid w:val="00272AC6"/>
    <w:rsid w:val="002B7D7D"/>
    <w:rsid w:val="002C2C2D"/>
    <w:rsid w:val="00303C1B"/>
    <w:rsid w:val="003210D1"/>
    <w:rsid w:val="00362488"/>
    <w:rsid w:val="003B410A"/>
    <w:rsid w:val="00442527"/>
    <w:rsid w:val="00483E6B"/>
    <w:rsid w:val="00493DE2"/>
    <w:rsid w:val="004C2A98"/>
    <w:rsid w:val="004D744D"/>
    <w:rsid w:val="0050268C"/>
    <w:rsid w:val="00523367"/>
    <w:rsid w:val="0053012C"/>
    <w:rsid w:val="006148EF"/>
    <w:rsid w:val="0063526A"/>
    <w:rsid w:val="00683B28"/>
    <w:rsid w:val="006E0E70"/>
    <w:rsid w:val="006E68E0"/>
    <w:rsid w:val="007633E8"/>
    <w:rsid w:val="007C3B8A"/>
    <w:rsid w:val="00811410"/>
    <w:rsid w:val="00825EB8"/>
    <w:rsid w:val="00832FBA"/>
    <w:rsid w:val="00852756"/>
    <w:rsid w:val="0088369E"/>
    <w:rsid w:val="008D2F6D"/>
    <w:rsid w:val="00947CDB"/>
    <w:rsid w:val="00982183"/>
    <w:rsid w:val="009C1FF5"/>
    <w:rsid w:val="00A03A64"/>
    <w:rsid w:val="00A43EA6"/>
    <w:rsid w:val="00A972BD"/>
    <w:rsid w:val="00AB1252"/>
    <w:rsid w:val="00AF261F"/>
    <w:rsid w:val="00B13F80"/>
    <w:rsid w:val="00B32FFA"/>
    <w:rsid w:val="00BA3883"/>
    <w:rsid w:val="00C205D8"/>
    <w:rsid w:val="00C2266C"/>
    <w:rsid w:val="00C26854"/>
    <w:rsid w:val="00C33D12"/>
    <w:rsid w:val="00C65033"/>
    <w:rsid w:val="00C70E5A"/>
    <w:rsid w:val="00C83B26"/>
    <w:rsid w:val="00CC49B1"/>
    <w:rsid w:val="00D07B04"/>
    <w:rsid w:val="00DC2AA3"/>
    <w:rsid w:val="00DF5F69"/>
    <w:rsid w:val="00EE4554"/>
    <w:rsid w:val="00EF4C99"/>
    <w:rsid w:val="00F25754"/>
    <w:rsid w:val="00F54ED9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10A"/>
  </w:style>
  <w:style w:type="paragraph" w:styleId="Footer">
    <w:name w:val="footer"/>
    <w:basedOn w:val="Normal"/>
    <w:link w:val="FooterChar"/>
    <w:uiPriority w:val="99"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0A"/>
  </w:style>
  <w:style w:type="character" w:styleId="Hyperlink">
    <w:name w:val="Hyperlink"/>
    <w:basedOn w:val="DefaultParagraphFont"/>
    <w:uiPriority w:val="99"/>
    <w:unhideWhenUsed/>
    <w:rsid w:val="00180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5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FFA"/>
    <w:pPr>
      <w:ind w:left="720"/>
      <w:contextualSpacing/>
    </w:pPr>
  </w:style>
  <w:style w:type="table" w:styleId="TableGrid">
    <w:name w:val="Table Grid"/>
    <w:basedOn w:val="TableNormal"/>
    <w:uiPriority w:val="59"/>
    <w:rsid w:val="00A03A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10A"/>
  </w:style>
  <w:style w:type="paragraph" w:styleId="Footer">
    <w:name w:val="footer"/>
    <w:basedOn w:val="Normal"/>
    <w:link w:val="FooterChar"/>
    <w:uiPriority w:val="99"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0A"/>
  </w:style>
  <w:style w:type="character" w:styleId="Hyperlink">
    <w:name w:val="Hyperlink"/>
    <w:basedOn w:val="DefaultParagraphFont"/>
    <w:uiPriority w:val="99"/>
    <w:unhideWhenUsed/>
    <w:rsid w:val="00180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5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FFA"/>
    <w:pPr>
      <w:ind w:left="720"/>
      <w:contextualSpacing/>
    </w:pPr>
  </w:style>
  <w:style w:type="table" w:styleId="TableGrid">
    <w:name w:val="Table Grid"/>
    <w:basedOn w:val="TableNormal"/>
    <w:uiPriority w:val="59"/>
    <w:rsid w:val="00A03A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3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cpp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cbp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cccp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B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 Pettitt</dc:creator>
  <cp:lastModifiedBy>Maureen Pettitt</cp:lastModifiedBy>
  <cp:revision>4</cp:revision>
  <dcterms:created xsi:type="dcterms:W3CDTF">2013-04-03T15:18:00Z</dcterms:created>
  <dcterms:modified xsi:type="dcterms:W3CDTF">2013-04-03T15:20:00Z</dcterms:modified>
</cp:coreProperties>
</file>