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156" w:rsidRDefault="002E3289" w:rsidP="002E3289">
      <w:pPr>
        <w:pStyle w:val="NormalWeb"/>
        <w:rPr>
          <w:rStyle w:val="content1"/>
          <w:rFonts w:ascii="Calibri" w:hAnsi="Calibri" w:cs="Calibri"/>
          <w:b/>
          <w:sz w:val="24"/>
          <w:szCs w:val="24"/>
        </w:rPr>
      </w:pPr>
      <w:bookmarkStart w:id="0" w:name="_GoBack"/>
      <w:bookmarkEnd w:id="0"/>
      <w:r w:rsidRPr="00AF1D7D">
        <w:rPr>
          <w:rStyle w:val="content1"/>
          <w:rFonts w:ascii="Calibri" w:hAnsi="Calibri" w:cs="Calibri"/>
          <w:b/>
          <w:sz w:val="24"/>
          <w:szCs w:val="24"/>
        </w:rPr>
        <w:t>Name of the Accountability/Quality Program:</w:t>
      </w:r>
    </w:p>
    <w:p w:rsidR="00AF1D7D" w:rsidRPr="00AF1D7D" w:rsidRDefault="00761F4D" w:rsidP="002E3289">
      <w:pPr>
        <w:pStyle w:val="NormalWeb"/>
        <w:rPr>
          <w:rStyle w:val="content1"/>
          <w:rFonts w:ascii="Calibri" w:hAnsi="Calibri" w:cs="Calibri"/>
          <w:b/>
          <w:sz w:val="24"/>
          <w:szCs w:val="24"/>
        </w:rPr>
      </w:pPr>
      <w:r>
        <w:rPr>
          <w:rFonts w:ascii="Calibri" w:hAnsi="Calibri" w:cs="Calibri"/>
          <w:color w:val="333333"/>
          <w:sz w:val="24"/>
          <w:szCs w:val="24"/>
          <w:lang w:val="en"/>
        </w:rPr>
        <w:t>The Completion Arch</w:t>
      </w:r>
    </w:p>
    <w:p w:rsidR="002E3289" w:rsidRPr="00AF1D7D" w:rsidRDefault="002E3289" w:rsidP="002E3289">
      <w:pPr>
        <w:pStyle w:val="NormalWeb"/>
        <w:rPr>
          <w:rStyle w:val="content1"/>
          <w:rFonts w:ascii="Calibri" w:hAnsi="Calibri" w:cs="Calibri"/>
          <w:b/>
          <w:sz w:val="24"/>
          <w:szCs w:val="24"/>
        </w:rPr>
      </w:pPr>
      <w:r w:rsidRPr="00AF1D7D">
        <w:rPr>
          <w:rStyle w:val="content1"/>
          <w:rFonts w:ascii="Calibri" w:hAnsi="Calibri" w:cs="Calibri"/>
          <w:b/>
          <w:sz w:val="24"/>
          <w:szCs w:val="24"/>
        </w:rPr>
        <w:t xml:space="preserve">Authors/Sponsors/Funders, </w:t>
      </w:r>
      <w:r w:rsidR="00AF1D7D" w:rsidRPr="00AF1D7D">
        <w:rPr>
          <w:rStyle w:val="content1"/>
          <w:rFonts w:ascii="Calibri" w:hAnsi="Calibri" w:cs="Calibri"/>
          <w:b/>
          <w:sz w:val="24"/>
          <w:szCs w:val="24"/>
        </w:rPr>
        <w:t>etc.</w:t>
      </w:r>
      <w:r w:rsidRPr="00AF1D7D">
        <w:rPr>
          <w:rStyle w:val="content1"/>
          <w:rFonts w:ascii="Calibri" w:hAnsi="Calibri" w:cs="Calibri"/>
          <w:b/>
          <w:sz w:val="24"/>
          <w:szCs w:val="24"/>
        </w:rPr>
        <w:t>:</w:t>
      </w:r>
    </w:p>
    <w:p w:rsidR="002E3289" w:rsidRPr="00AF1D7D" w:rsidRDefault="00761F4D" w:rsidP="002E3289">
      <w:pPr>
        <w:pStyle w:val="NormalWeb"/>
        <w:rPr>
          <w:rStyle w:val="content1"/>
          <w:rFonts w:ascii="Calibri" w:hAnsi="Calibri" w:cs="Calibri"/>
          <w:sz w:val="24"/>
          <w:szCs w:val="24"/>
        </w:rPr>
      </w:pPr>
      <w:r>
        <w:rPr>
          <w:rStyle w:val="content1"/>
          <w:rFonts w:ascii="Calibri" w:hAnsi="Calibri" w:cs="Calibri"/>
          <w:sz w:val="24"/>
          <w:szCs w:val="24"/>
        </w:rPr>
        <w:t>College Board</w:t>
      </w:r>
    </w:p>
    <w:p w:rsidR="002E3289" w:rsidRPr="00AF1D7D" w:rsidRDefault="002E3289" w:rsidP="002E3289">
      <w:pPr>
        <w:pStyle w:val="NormalWeb"/>
        <w:rPr>
          <w:rStyle w:val="content1"/>
          <w:rFonts w:ascii="Calibri" w:hAnsi="Calibri" w:cs="Calibri"/>
          <w:b/>
          <w:sz w:val="24"/>
          <w:szCs w:val="24"/>
        </w:rPr>
      </w:pPr>
      <w:r w:rsidRPr="00AF1D7D">
        <w:rPr>
          <w:rStyle w:val="content1"/>
          <w:rFonts w:ascii="Calibri" w:hAnsi="Calibri" w:cs="Calibri"/>
          <w:b/>
          <w:sz w:val="24"/>
          <w:szCs w:val="24"/>
        </w:rPr>
        <w:t>URL:</w:t>
      </w:r>
    </w:p>
    <w:p w:rsidR="00142498" w:rsidRPr="00761F4D" w:rsidRDefault="005C3156" w:rsidP="002E3289">
      <w:pPr>
        <w:pStyle w:val="NormalWeb"/>
        <w:rPr>
          <w:rStyle w:val="content1"/>
          <w:rFonts w:ascii="Calibri" w:hAnsi="Calibri" w:cs="Calibri"/>
          <w:sz w:val="24"/>
          <w:szCs w:val="24"/>
        </w:rPr>
      </w:pPr>
      <w:hyperlink r:id="rId8" w:history="1">
        <w:r w:rsidR="00761F4D" w:rsidRPr="0079303F">
          <w:rPr>
            <w:rStyle w:val="Hyperlink"/>
            <w:rFonts w:ascii="Calibri" w:hAnsi="Calibri"/>
            <w:sz w:val="24"/>
            <w:szCs w:val="24"/>
          </w:rPr>
          <w:t>http://completionarch.collegeboard.org/</w:t>
        </w:r>
      </w:hyperlink>
      <w:r w:rsidR="00761F4D">
        <w:rPr>
          <w:rStyle w:val="content1"/>
          <w:rFonts w:ascii="Calibri" w:hAnsi="Calibri" w:cs="Calibri"/>
          <w:sz w:val="24"/>
          <w:szCs w:val="24"/>
        </w:rPr>
        <w:t xml:space="preserve"> </w:t>
      </w:r>
    </w:p>
    <w:p w:rsidR="002E3289" w:rsidRPr="00AF1D7D" w:rsidRDefault="002E3289" w:rsidP="002E3289">
      <w:pPr>
        <w:pStyle w:val="NormalWeb"/>
        <w:rPr>
          <w:rStyle w:val="content1"/>
          <w:rFonts w:ascii="Calibri" w:hAnsi="Calibri" w:cs="Calibri"/>
          <w:b/>
          <w:sz w:val="24"/>
          <w:szCs w:val="24"/>
        </w:rPr>
      </w:pPr>
      <w:r w:rsidRPr="00AF1D7D">
        <w:rPr>
          <w:rStyle w:val="content1"/>
          <w:rFonts w:ascii="Calibri" w:hAnsi="Calibri" w:cs="Calibri"/>
          <w:b/>
          <w:sz w:val="24"/>
          <w:szCs w:val="24"/>
        </w:rPr>
        <w:t>Overview:</w:t>
      </w:r>
    </w:p>
    <w:p w:rsidR="00864F13" w:rsidRDefault="00864F13" w:rsidP="00AF1D7D">
      <w:pPr>
        <w:pStyle w:val="NormalWeb"/>
        <w:shd w:val="clear" w:color="auto" w:fill="FFFFFF"/>
        <w:rPr>
          <w:rFonts w:ascii="Calibri" w:hAnsi="Calibri" w:cs="Calibri"/>
          <w:color w:val="333333"/>
          <w:sz w:val="24"/>
          <w:szCs w:val="24"/>
          <w:lang w:val="en"/>
        </w:rPr>
      </w:pPr>
      <w:r>
        <w:rPr>
          <w:rFonts w:ascii="Calibri" w:hAnsi="Calibri" w:cs="Calibri"/>
          <w:color w:val="333333"/>
          <w:sz w:val="24"/>
          <w:szCs w:val="24"/>
          <w:lang w:val="en"/>
        </w:rPr>
        <w:t xml:space="preserve">The Completion Arch draws on the national initiatives (e.g. Achieving the Dream and Complete College America) and published research and reports (e.g. IPEDS) to present common metrics to track community college student progress and success. This provides centrally organized statistics on the progress of students in five areas.  Within each of these areas there are measures which can be used to build </w:t>
      </w:r>
      <w:r w:rsidR="001345AD">
        <w:rPr>
          <w:rFonts w:ascii="Calibri" w:hAnsi="Calibri" w:cs="Calibri"/>
          <w:color w:val="333333"/>
          <w:sz w:val="24"/>
          <w:szCs w:val="24"/>
          <w:lang w:val="en"/>
        </w:rPr>
        <w:t>an</w:t>
      </w:r>
      <w:r>
        <w:rPr>
          <w:rFonts w:ascii="Calibri" w:hAnsi="Calibri" w:cs="Calibri"/>
          <w:color w:val="333333"/>
          <w:sz w:val="24"/>
          <w:szCs w:val="24"/>
          <w:lang w:val="en"/>
        </w:rPr>
        <w:t xml:space="preserve"> indicator list.</w:t>
      </w:r>
    </w:p>
    <w:p w:rsidR="007853A4" w:rsidRPr="00AF1D7D" w:rsidRDefault="002E3289" w:rsidP="00395DB0">
      <w:pPr>
        <w:pStyle w:val="NormalWeb"/>
        <w:rPr>
          <w:rFonts w:ascii="Calibri" w:hAnsi="Calibri" w:cs="Calibri"/>
          <w:b/>
          <w:sz w:val="24"/>
          <w:szCs w:val="24"/>
        </w:rPr>
      </w:pPr>
      <w:r w:rsidRPr="00AF1D7D">
        <w:rPr>
          <w:rFonts w:ascii="Calibri" w:hAnsi="Calibri" w:cs="Calibri"/>
          <w:b/>
          <w:sz w:val="24"/>
          <w:szCs w:val="24"/>
        </w:rPr>
        <w:t>Specific Measures in Program:</w:t>
      </w:r>
    </w:p>
    <w:p w:rsidR="00700A0C" w:rsidRPr="00864F13" w:rsidRDefault="00700A0C" w:rsidP="00700A0C">
      <w:pPr>
        <w:autoSpaceDE w:val="0"/>
        <w:autoSpaceDN w:val="0"/>
        <w:adjustRightInd w:val="0"/>
        <w:spacing w:after="0" w:line="240" w:lineRule="auto"/>
        <w:rPr>
          <w:rFonts w:ascii="Calibri" w:hAnsi="Calibri" w:cs="Calibri"/>
          <w:b/>
          <w:sz w:val="24"/>
          <w:szCs w:val="24"/>
        </w:rPr>
      </w:pPr>
      <w:r w:rsidRPr="001345AD">
        <w:rPr>
          <w:rFonts w:ascii="Calibri" w:hAnsi="Calibri" w:cs="Calibri"/>
          <w:sz w:val="24"/>
          <w:szCs w:val="24"/>
        </w:rPr>
        <w:t xml:space="preserve">The </w:t>
      </w:r>
      <w:r w:rsidR="00761F4D" w:rsidRPr="001345AD">
        <w:rPr>
          <w:rFonts w:ascii="Calibri" w:hAnsi="Calibri" w:cs="Calibri"/>
          <w:sz w:val="24"/>
          <w:szCs w:val="24"/>
        </w:rPr>
        <w:t>five areas</w:t>
      </w:r>
      <w:r w:rsidR="00864F13" w:rsidRPr="001345AD">
        <w:rPr>
          <w:rFonts w:ascii="Calibri" w:hAnsi="Calibri" w:cs="Calibri"/>
          <w:sz w:val="24"/>
          <w:szCs w:val="24"/>
        </w:rPr>
        <w:t xml:space="preserve"> (</w:t>
      </w:r>
      <w:r w:rsidR="00864F13" w:rsidRPr="001345AD">
        <w:rPr>
          <w:rFonts w:ascii="Calibri" w:hAnsi="Calibri" w:cs="Calibri"/>
          <w:i/>
          <w:sz w:val="24"/>
          <w:szCs w:val="24"/>
        </w:rPr>
        <w:t>with Measures</w:t>
      </w:r>
      <w:r w:rsidR="00864F13" w:rsidRPr="001345AD">
        <w:rPr>
          <w:rFonts w:ascii="Calibri" w:hAnsi="Calibri" w:cs="Calibri"/>
          <w:sz w:val="24"/>
          <w:szCs w:val="24"/>
        </w:rPr>
        <w:t>)</w:t>
      </w:r>
      <w:r w:rsidR="00761F4D" w:rsidRPr="001345AD">
        <w:rPr>
          <w:rFonts w:ascii="Calibri" w:hAnsi="Calibri" w:cs="Calibri"/>
          <w:sz w:val="24"/>
          <w:szCs w:val="24"/>
        </w:rPr>
        <w:t xml:space="preserve"> </w:t>
      </w:r>
      <w:r w:rsidR="00F64F76" w:rsidRPr="001345AD">
        <w:rPr>
          <w:rFonts w:ascii="Calibri" w:hAnsi="Calibri" w:cs="Calibri"/>
          <w:sz w:val="24"/>
          <w:szCs w:val="24"/>
        </w:rPr>
        <w:t>are</w:t>
      </w:r>
      <w:r w:rsidRPr="00864F13">
        <w:rPr>
          <w:rFonts w:ascii="Calibri" w:hAnsi="Calibri" w:cs="Calibri"/>
          <w:b/>
          <w:sz w:val="24"/>
          <w:szCs w:val="24"/>
        </w:rPr>
        <w:t>:</w:t>
      </w:r>
    </w:p>
    <w:p w:rsidR="00700A0C" w:rsidRPr="00D769DC" w:rsidRDefault="00761F4D" w:rsidP="00700A0C">
      <w:pPr>
        <w:pStyle w:val="ListParagraph"/>
        <w:numPr>
          <w:ilvl w:val="0"/>
          <w:numId w:val="1"/>
        </w:numPr>
        <w:autoSpaceDE w:val="0"/>
        <w:autoSpaceDN w:val="0"/>
        <w:adjustRightInd w:val="0"/>
        <w:spacing w:after="0" w:line="240" w:lineRule="auto"/>
        <w:rPr>
          <w:rFonts w:ascii="Calibri" w:hAnsi="Calibri" w:cs="Calibri"/>
          <w:sz w:val="24"/>
          <w:szCs w:val="24"/>
        </w:rPr>
      </w:pPr>
      <w:r w:rsidRPr="001345AD">
        <w:rPr>
          <w:rFonts w:ascii="Calibri" w:hAnsi="Calibri" w:cs="Calibri"/>
          <w:sz w:val="24"/>
          <w:szCs w:val="24"/>
        </w:rPr>
        <w:t>Enrollment</w:t>
      </w:r>
      <w:r w:rsidR="00864F13">
        <w:rPr>
          <w:rFonts w:ascii="Calibri" w:hAnsi="Calibri" w:cs="Calibri"/>
          <w:sz w:val="24"/>
          <w:szCs w:val="24"/>
        </w:rPr>
        <w:t xml:space="preserve"> (</w:t>
      </w:r>
      <w:r w:rsidR="00864F13" w:rsidRPr="001345AD">
        <w:rPr>
          <w:rFonts w:ascii="Calibri" w:hAnsi="Calibri" w:cs="Calibri"/>
          <w:i/>
          <w:sz w:val="24"/>
          <w:szCs w:val="24"/>
        </w:rPr>
        <w:t>Fall enrollment, and Unduplicated annual enrollment</w:t>
      </w:r>
      <w:r w:rsidR="00864F13">
        <w:rPr>
          <w:rFonts w:ascii="Calibri" w:hAnsi="Calibri" w:cs="Calibri"/>
          <w:sz w:val="24"/>
          <w:szCs w:val="24"/>
        </w:rPr>
        <w:t>)</w:t>
      </w:r>
      <w:r w:rsidR="00700A0C">
        <w:rPr>
          <w:rFonts w:ascii="Calibri" w:hAnsi="Calibri" w:cs="Calibri"/>
          <w:sz w:val="24"/>
          <w:szCs w:val="24"/>
        </w:rPr>
        <w:t>,</w:t>
      </w:r>
    </w:p>
    <w:p w:rsidR="00313CB5" w:rsidRDefault="00761F4D" w:rsidP="00700A0C">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Developmental Education Placement</w:t>
      </w:r>
      <w:r w:rsidR="00864F13">
        <w:rPr>
          <w:rFonts w:ascii="Calibri" w:hAnsi="Calibri" w:cs="Calibri"/>
          <w:sz w:val="24"/>
          <w:szCs w:val="24"/>
        </w:rPr>
        <w:t xml:space="preserve"> (</w:t>
      </w:r>
      <w:r w:rsidR="00864F13" w:rsidRPr="001345AD">
        <w:rPr>
          <w:rFonts w:ascii="Calibri" w:hAnsi="Calibri" w:cs="Calibri"/>
          <w:i/>
          <w:sz w:val="24"/>
          <w:szCs w:val="24"/>
        </w:rPr>
        <w:t>Placement in developmental courses, and Participation in developmental courses</w:t>
      </w:r>
      <w:r w:rsidR="00864F13">
        <w:rPr>
          <w:rFonts w:ascii="Calibri" w:hAnsi="Calibri" w:cs="Calibri"/>
          <w:sz w:val="24"/>
          <w:szCs w:val="24"/>
        </w:rPr>
        <w:t>)</w:t>
      </w:r>
      <w:r w:rsidR="00700A0C" w:rsidRPr="00700A0C">
        <w:rPr>
          <w:rFonts w:ascii="Calibri" w:hAnsi="Calibri" w:cs="Calibri"/>
          <w:sz w:val="24"/>
          <w:szCs w:val="24"/>
        </w:rPr>
        <w:t xml:space="preserve">, </w:t>
      </w:r>
    </w:p>
    <w:p w:rsidR="00313CB5" w:rsidRDefault="00761F4D" w:rsidP="00700A0C">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Progress</w:t>
      </w:r>
      <w:r w:rsidR="00864F13">
        <w:rPr>
          <w:rFonts w:ascii="Calibri" w:hAnsi="Calibri" w:cs="Calibri"/>
          <w:sz w:val="24"/>
          <w:szCs w:val="24"/>
        </w:rPr>
        <w:t xml:space="preserve"> (</w:t>
      </w:r>
      <w:r w:rsidR="00864F13" w:rsidRPr="001345AD">
        <w:rPr>
          <w:rFonts w:ascii="Calibri" w:hAnsi="Calibri" w:cs="Calibri"/>
          <w:i/>
          <w:sz w:val="24"/>
          <w:szCs w:val="24"/>
        </w:rPr>
        <w:t>Completion of first developmental course, completion of developmental sequence, Enrollment in gatekeeper courses,</w:t>
      </w:r>
      <w:r w:rsidR="001345AD">
        <w:rPr>
          <w:rFonts w:ascii="Calibri" w:hAnsi="Calibri" w:cs="Calibri"/>
          <w:i/>
          <w:sz w:val="24"/>
          <w:szCs w:val="24"/>
        </w:rPr>
        <w:t xml:space="preserve"> Threshold number of credits in specified time, Persistence over terms and years, Completion of transfer curriculum, Full-time attendance in first-term, Completion of courses attempted, Continuous enrollment, and Summer credits earned)</w:t>
      </w:r>
      <w:r w:rsidR="00864F13">
        <w:rPr>
          <w:rFonts w:ascii="Calibri" w:hAnsi="Calibri" w:cs="Calibri"/>
          <w:sz w:val="24"/>
          <w:szCs w:val="24"/>
        </w:rPr>
        <w:t xml:space="preserve"> </w:t>
      </w:r>
      <w:r w:rsidR="00313CB5">
        <w:rPr>
          <w:rFonts w:ascii="Calibri" w:hAnsi="Calibri" w:cs="Calibri"/>
          <w:sz w:val="24"/>
          <w:szCs w:val="24"/>
        </w:rPr>
        <w:t>,</w:t>
      </w:r>
    </w:p>
    <w:p w:rsidR="00313CB5" w:rsidRDefault="00761F4D" w:rsidP="00700A0C">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Transfer and Completion</w:t>
      </w:r>
      <w:r w:rsidR="001345AD">
        <w:rPr>
          <w:rFonts w:ascii="Calibri" w:hAnsi="Calibri" w:cs="Calibri"/>
          <w:sz w:val="24"/>
          <w:szCs w:val="24"/>
        </w:rPr>
        <w:t xml:space="preserve"> (</w:t>
      </w:r>
      <w:r w:rsidR="001345AD">
        <w:rPr>
          <w:rFonts w:ascii="Calibri" w:hAnsi="Calibri" w:cs="Calibri"/>
          <w:i/>
          <w:sz w:val="24"/>
          <w:szCs w:val="24"/>
        </w:rPr>
        <w:t>Degree &amp; certificates awarded, Completion rate within six years, Persistence without a degree, Time to degree, Credits to degree, Graduation rates</w:t>
      </w:r>
      <w:r w:rsidR="001345AD">
        <w:rPr>
          <w:rFonts w:ascii="Calibri" w:hAnsi="Calibri" w:cs="Calibri"/>
          <w:sz w:val="24"/>
          <w:szCs w:val="24"/>
        </w:rPr>
        <w:t>)</w:t>
      </w:r>
      <w:r w:rsidR="00313CB5">
        <w:rPr>
          <w:rFonts w:ascii="Calibri" w:hAnsi="Calibri" w:cs="Calibri"/>
          <w:sz w:val="24"/>
          <w:szCs w:val="24"/>
        </w:rPr>
        <w:t>,</w:t>
      </w:r>
      <w:r>
        <w:rPr>
          <w:rFonts w:ascii="Calibri" w:hAnsi="Calibri" w:cs="Calibri"/>
          <w:sz w:val="24"/>
          <w:szCs w:val="24"/>
        </w:rPr>
        <w:t xml:space="preserve"> and</w:t>
      </w:r>
    </w:p>
    <w:p w:rsidR="00700A0C" w:rsidRPr="00D769DC" w:rsidRDefault="00761F4D" w:rsidP="00700A0C">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Workforce Preparation and Employment Outcomes</w:t>
      </w:r>
      <w:r w:rsidR="00864F13">
        <w:rPr>
          <w:rFonts w:ascii="Calibri" w:hAnsi="Calibri" w:cs="Calibri"/>
          <w:sz w:val="24"/>
          <w:szCs w:val="24"/>
        </w:rPr>
        <w:t xml:space="preserve"> (</w:t>
      </w:r>
      <w:r w:rsidR="00864F13" w:rsidRPr="001345AD">
        <w:rPr>
          <w:rFonts w:ascii="Calibri" w:hAnsi="Calibri" w:cs="Calibri"/>
          <w:i/>
          <w:sz w:val="24"/>
          <w:szCs w:val="24"/>
        </w:rPr>
        <w:t>Licensure exam pass rates, Job placement rates, and Graduates’ wages and wage growth</w:t>
      </w:r>
      <w:r w:rsidR="00864F13">
        <w:rPr>
          <w:rFonts w:ascii="Calibri" w:hAnsi="Calibri" w:cs="Calibri"/>
          <w:sz w:val="24"/>
          <w:szCs w:val="24"/>
        </w:rPr>
        <w:t>)</w:t>
      </w:r>
      <w:r w:rsidR="00700A0C" w:rsidRPr="00D769DC">
        <w:rPr>
          <w:rFonts w:ascii="Calibri" w:hAnsi="Calibri" w:cs="Calibri"/>
          <w:sz w:val="24"/>
          <w:szCs w:val="24"/>
        </w:rPr>
        <w:t>.</w:t>
      </w:r>
    </w:p>
    <w:p w:rsidR="00700A0C" w:rsidRPr="00D86FB6" w:rsidRDefault="00700A0C" w:rsidP="00700A0C">
      <w:pPr>
        <w:spacing w:line="240" w:lineRule="auto"/>
        <w:rPr>
          <w:rFonts w:ascii="Calibri" w:hAnsi="Calibri" w:cs="Calibri"/>
          <w:sz w:val="24"/>
          <w:szCs w:val="24"/>
        </w:rPr>
      </w:pPr>
    </w:p>
    <w:p w:rsidR="00700A0C" w:rsidRPr="00D86FB6" w:rsidRDefault="00700A0C" w:rsidP="00700A0C">
      <w:pPr>
        <w:spacing w:line="240" w:lineRule="auto"/>
        <w:rPr>
          <w:rFonts w:ascii="Calibri" w:hAnsi="Calibri" w:cs="Calibri"/>
          <w:b/>
          <w:sz w:val="24"/>
          <w:szCs w:val="24"/>
        </w:rPr>
      </w:pPr>
      <w:r w:rsidRPr="00D86FB6">
        <w:rPr>
          <w:rFonts w:ascii="Calibri" w:hAnsi="Calibri" w:cs="Calibri"/>
          <w:b/>
          <w:sz w:val="24"/>
          <w:szCs w:val="24"/>
        </w:rPr>
        <w:t>Impact/Implications for Washington Community &amp; Technical Colleges:</w:t>
      </w:r>
    </w:p>
    <w:p w:rsidR="00700A0C" w:rsidRPr="00D86FB6" w:rsidRDefault="00E64877" w:rsidP="00700A0C">
      <w:pPr>
        <w:spacing w:line="240" w:lineRule="auto"/>
        <w:rPr>
          <w:rFonts w:ascii="Calibri" w:hAnsi="Calibri" w:cs="Calibri"/>
          <w:sz w:val="24"/>
          <w:szCs w:val="24"/>
        </w:rPr>
      </w:pPr>
      <w:r>
        <w:rPr>
          <w:rFonts w:ascii="Calibri" w:hAnsi="Calibri" w:cs="Calibri"/>
          <w:sz w:val="24"/>
          <w:szCs w:val="24"/>
        </w:rPr>
        <w:t>We are</w:t>
      </w:r>
      <w:r w:rsidR="00142498">
        <w:rPr>
          <w:rFonts w:ascii="Calibri" w:hAnsi="Calibri" w:cs="Calibri"/>
          <w:sz w:val="24"/>
          <w:szCs w:val="24"/>
        </w:rPr>
        <w:t xml:space="preserve"> unaware of</w:t>
      </w:r>
      <w:r w:rsidR="00700A0C">
        <w:rPr>
          <w:rFonts w:ascii="Calibri" w:hAnsi="Calibri" w:cs="Calibri"/>
          <w:sz w:val="24"/>
          <w:szCs w:val="24"/>
        </w:rPr>
        <w:t xml:space="preserve"> any discussion at the state level about using this as a measurement tool.</w:t>
      </w:r>
    </w:p>
    <w:p w:rsidR="00700A0C" w:rsidRPr="002E3289" w:rsidRDefault="00700A0C" w:rsidP="00700A0C">
      <w:pPr>
        <w:spacing w:line="240" w:lineRule="auto"/>
      </w:pPr>
    </w:p>
    <w:p w:rsidR="002E3289" w:rsidRPr="002E3289" w:rsidRDefault="002E3289" w:rsidP="002E3289">
      <w:pPr>
        <w:spacing w:line="240" w:lineRule="auto"/>
      </w:pPr>
    </w:p>
    <w:sectPr w:rsidR="002E3289" w:rsidRPr="002E328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C2D" w:rsidRDefault="00075C2D" w:rsidP="00E41221">
      <w:pPr>
        <w:spacing w:after="0" w:line="240" w:lineRule="auto"/>
      </w:pPr>
      <w:r>
        <w:separator/>
      </w:r>
    </w:p>
  </w:endnote>
  <w:endnote w:type="continuationSeparator" w:id="0">
    <w:p w:rsidR="00075C2D" w:rsidRDefault="00075C2D" w:rsidP="00E4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2D" w:rsidRPr="00AF1D7D" w:rsidRDefault="001345AD" w:rsidP="00AF1D7D">
    <w:pPr>
      <w:pStyle w:val="Footer"/>
      <w:jc w:val="center"/>
      <w:rPr>
        <w:rFonts w:ascii="Calibri" w:hAnsi="Calibri" w:cs="Calibri"/>
        <w:sz w:val="24"/>
        <w:szCs w:val="24"/>
      </w:rPr>
    </w:pPr>
    <w:r>
      <w:rPr>
        <w:rFonts w:ascii="Calibri" w:hAnsi="Calibri" w:cs="Calibri"/>
        <w:color w:val="333333"/>
        <w:sz w:val="24"/>
        <w:szCs w:val="24"/>
        <w:lang w:val="en"/>
      </w:rPr>
      <w:t>Completion Arch</w:t>
    </w:r>
    <w:r w:rsidR="00075C2D" w:rsidRPr="00AF1D7D">
      <w:rPr>
        <w:rFonts w:ascii="Calibri" w:hAnsi="Calibri" w:cs="Calibri"/>
        <w:color w:val="333333"/>
        <w:sz w:val="24"/>
        <w:szCs w:val="24"/>
        <w:lang w:val="en"/>
      </w:rPr>
      <w:t xml:space="preserve"> </w:t>
    </w:r>
    <w:r>
      <w:rPr>
        <w:rFonts w:ascii="Calibri" w:hAnsi="Calibri" w:cs="Calibri"/>
        <w:color w:val="333333"/>
        <w:sz w:val="24"/>
        <w:szCs w:val="24"/>
        <w:lang w:val="en"/>
      </w:rPr>
      <w:t>–</w:t>
    </w:r>
    <w:r w:rsidR="00075C2D" w:rsidRPr="00AF1D7D">
      <w:rPr>
        <w:rFonts w:ascii="Calibri" w:hAnsi="Calibri" w:cs="Calibri"/>
        <w:color w:val="333333"/>
        <w:sz w:val="24"/>
        <w:szCs w:val="24"/>
        <w:lang w:val="en"/>
      </w:rPr>
      <w:t xml:space="preserve"> </w:t>
    </w:r>
    <w:r>
      <w:rPr>
        <w:rFonts w:ascii="Calibri" w:hAnsi="Calibri" w:cs="Calibri"/>
        <w:color w:val="333333"/>
        <w:sz w:val="24"/>
        <w:szCs w:val="24"/>
        <w:lang w:val="en"/>
      </w:rPr>
      <w:t>Spring 2013</w:t>
    </w:r>
  </w:p>
  <w:p w:rsidR="00075C2D" w:rsidRDefault="00075C2D" w:rsidP="00E412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C2D" w:rsidRDefault="00075C2D" w:rsidP="00E41221">
      <w:pPr>
        <w:spacing w:after="0" w:line="240" w:lineRule="auto"/>
      </w:pPr>
      <w:r>
        <w:separator/>
      </w:r>
    </w:p>
  </w:footnote>
  <w:footnote w:type="continuationSeparator" w:id="0">
    <w:p w:rsidR="00075C2D" w:rsidRDefault="00075C2D" w:rsidP="00E41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2D" w:rsidRPr="00AF1D7D" w:rsidRDefault="00075C2D" w:rsidP="00E41221">
    <w:pPr>
      <w:pStyle w:val="Header"/>
      <w:jc w:val="center"/>
      <w:rPr>
        <w:sz w:val="24"/>
        <w:szCs w:val="24"/>
      </w:rPr>
    </w:pPr>
    <w:r w:rsidRPr="00AF1D7D">
      <w:rPr>
        <w:sz w:val="24"/>
        <w:szCs w:val="24"/>
      </w:rPr>
      <w:t>Research and Planning Commission</w:t>
    </w:r>
  </w:p>
  <w:p w:rsidR="00075C2D" w:rsidRPr="00AF1D7D" w:rsidRDefault="00075C2D" w:rsidP="00E41221">
    <w:pPr>
      <w:pStyle w:val="Header"/>
      <w:jc w:val="center"/>
      <w:rPr>
        <w:sz w:val="24"/>
        <w:szCs w:val="24"/>
      </w:rPr>
    </w:pPr>
    <w:r w:rsidRPr="00AF1D7D">
      <w:rPr>
        <w:sz w:val="24"/>
        <w:szCs w:val="24"/>
      </w:rPr>
      <w:t>Accountability and Quality Measures</w:t>
    </w:r>
  </w:p>
  <w:p w:rsidR="00075C2D" w:rsidRDefault="00075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E42A8"/>
    <w:multiLevelType w:val="hybridMultilevel"/>
    <w:tmpl w:val="EB74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1"/>
    <w:rsid w:val="00075C2D"/>
    <w:rsid w:val="001345AD"/>
    <w:rsid w:val="00142498"/>
    <w:rsid w:val="002E3289"/>
    <w:rsid w:val="00313CB5"/>
    <w:rsid w:val="00395DB0"/>
    <w:rsid w:val="005C3156"/>
    <w:rsid w:val="00700A0C"/>
    <w:rsid w:val="00761F4D"/>
    <w:rsid w:val="007853A4"/>
    <w:rsid w:val="00864F13"/>
    <w:rsid w:val="00AC1E40"/>
    <w:rsid w:val="00AF1D7D"/>
    <w:rsid w:val="00E41221"/>
    <w:rsid w:val="00E64877"/>
    <w:rsid w:val="00F6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221"/>
    <w:pPr>
      <w:spacing w:before="100" w:beforeAutospacing="1" w:after="100" w:afterAutospacing="1" w:line="240" w:lineRule="auto"/>
    </w:pPr>
    <w:rPr>
      <w:rFonts w:ascii="Times New Roman" w:eastAsia="Times New Roman" w:hAnsi="Times New Roman" w:cs="Times New Roman"/>
    </w:rPr>
  </w:style>
  <w:style w:type="character" w:customStyle="1" w:styleId="content1">
    <w:name w:val="content1"/>
    <w:basedOn w:val="DefaultParagraphFont"/>
    <w:rsid w:val="00E41221"/>
    <w:rPr>
      <w:rFonts w:ascii="Verdana" w:hAnsi="Verdana" w:hint="default"/>
      <w:color w:val="333333"/>
      <w:sz w:val="18"/>
      <w:szCs w:val="18"/>
    </w:rPr>
  </w:style>
  <w:style w:type="paragraph" w:styleId="Header">
    <w:name w:val="header"/>
    <w:basedOn w:val="Normal"/>
    <w:link w:val="HeaderChar"/>
    <w:uiPriority w:val="99"/>
    <w:unhideWhenUsed/>
    <w:rsid w:val="00E41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221"/>
  </w:style>
  <w:style w:type="paragraph" w:styleId="Footer">
    <w:name w:val="footer"/>
    <w:basedOn w:val="Normal"/>
    <w:link w:val="FooterChar"/>
    <w:uiPriority w:val="99"/>
    <w:unhideWhenUsed/>
    <w:rsid w:val="00E41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221"/>
  </w:style>
  <w:style w:type="paragraph" w:styleId="BalloonText">
    <w:name w:val="Balloon Text"/>
    <w:basedOn w:val="Normal"/>
    <w:link w:val="BalloonTextChar"/>
    <w:uiPriority w:val="99"/>
    <w:semiHidden/>
    <w:unhideWhenUsed/>
    <w:rsid w:val="00E41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221"/>
    <w:rPr>
      <w:rFonts w:ascii="Tahoma" w:hAnsi="Tahoma" w:cs="Tahoma"/>
      <w:sz w:val="16"/>
      <w:szCs w:val="16"/>
    </w:rPr>
  </w:style>
  <w:style w:type="character" w:styleId="Hyperlink">
    <w:name w:val="Hyperlink"/>
    <w:basedOn w:val="DefaultParagraphFont"/>
    <w:uiPriority w:val="99"/>
    <w:unhideWhenUsed/>
    <w:rsid w:val="002E3289"/>
    <w:rPr>
      <w:color w:val="0000FF" w:themeColor="hyperlink"/>
      <w:u w:val="single"/>
    </w:rPr>
  </w:style>
  <w:style w:type="paragraph" w:styleId="ListParagraph">
    <w:name w:val="List Paragraph"/>
    <w:basedOn w:val="Normal"/>
    <w:uiPriority w:val="34"/>
    <w:qFormat/>
    <w:rsid w:val="00700A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221"/>
    <w:pPr>
      <w:spacing w:before="100" w:beforeAutospacing="1" w:after="100" w:afterAutospacing="1" w:line="240" w:lineRule="auto"/>
    </w:pPr>
    <w:rPr>
      <w:rFonts w:ascii="Times New Roman" w:eastAsia="Times New Roman" w:hAnsi="Times New Roman" w:cs="Times New Roman"/>
    </w:rPr>
  </w:style>
  <w:style w:type="character" w:customStyle="1" w:styleId="content1">
    <w:name w:val="content1"/>
    <w:basedOn w:val="DefaultParagraphFont"/>
    <w:rsid w:val="00E41221"/>
    <w:rPr>
      <w:rFonts w:ascii="Verdana" w:hAnsi="Verdana" w:hint="default"/>
      <w:color w:val="333333"/>
      <w:sz w:val="18"/>
      <w:szCs w:val="18"/>
    </w:rPr>
  </w:style>
  <w:style w:type="paragraph" w:styleId="Header">
    <w:name w:val="header"/>
    <w:basedOn w:val="Normal"/>
    <w:link w:val="HeaderChar"/>
    <w:uiPriority w:val="99"/>
    <w:unhideWhenUsed/>
    <w:rsid w:val="00E41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221"/>
  </w:style>
  <w:style w:type="paragraph" w:styleId="Footer">
    <w:name w:val="footer"/>
    <w:basedOn w:val="Normal"/>
    <w:link w:val="FooterChar"/>
    <w:uiPriority w:val="99"/>
    <w:unhideWhenUsed/>
    <w:rsid w:val="00E41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221"/>
  </w:style>
  <w:style w:type="paragraph" w:styleId="BalloonText">
    <w:name w:val="Balloon Text"/>
    <w:basedOn w:val="Normal"/>
    <w:link w:val="BalloonTextChar"/>
    <w:uiPriority w:val="99"/>
    <w:semiHidden/>
    <w:unhideWhenUsed/>
    <w:rsid w:val="00E41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221"/>
    <w:rPr>
      <w:rFonts w:ascii="Tahoma" w:hAnsi="Tahoma" w:cs="Tahoma"/>
      <w:sz w:val="16"/>
      <w:szCs w:val="16"/>
    </w:rPr>
  </w:style>
  <w:style w:type="character" w:styleId="Hyperlink">
    <w:name w:val="Hyperlink"/>
    <w:basedOn w:val="DefaultParagraphFont"/>
    <w:uiPriority w:val="99"/>
    <w:unhideWhenUsed/>
    <w:rsid w:val="002E3289"/>
    <w:rPr>
      <w:color w:val="0000FF" w:themeColor="hyperlink"/>
      <w:u w:val="single"/>
    </w:rPr>
  </w:style>
  <w:style w:type="paragraph" w:styleId="ListParagraph">
    <w:name w:val="List Paragraph"/>
    <w:basedOn w:val="Normal"/>
    <w:uiPriority w:val="34"/>
    <w:qFormat/>
    <w:rsid w:val="00700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67536">
      <w:bodyDiv w:val="1"/>
      <w:marLeft w:val="0"/>
      <w:marRight w:val="0"/>
      <w:marTop w:val="0"/>
      <w:marBottom w:val="0"/>
      <w:divBdr>
        <w:top w:val="none" w:sz="0" w:space="0" w:color="auto"/>
        <w:left w:val="none" w:sz="0" w:space="0" w:color="auto"/>
        <w:bottom w:val="none" w:sz="0" w:space="0" w:color="auto"/>
        <w:right w:val="none" w:sz="0" w:space="0" w:color="auto"/>
      </w:divBdr>
      <w:divsChild>
        <w:div w:id="1064914759">
          <w:marLeft w:val="0"/>
          <w:marRight w:val="0"/>
          <w:marTop w:val="100"/>
          <w:marBottom w:val="100"/>
          <w:divBdr>
            <w:top w:val="none" w:sz="0" w:space="0" w:color="auto"/>
            <w:left w:val="none" w:sz="0" w:space="0" w:color="auto"/>
            <w:bottom w:val="none" w:sz="0" w:space="0" w:color="auto"/>
            <w:right w:val="none" w:sz="0" w:space="0" w:color="auto"/>
          </w:divBdr>
          <w:divsChild>
            <w:div w:id="56169355">
              <w:marLeft w:val="0"/>
              <w:marRight w:val="0"/>
              <w:marTop w:val="0"/>
              <w:marBottom w:val="0"/>
              <w:divBdr>
                <w:top w:val="none" w:sz="0" w:space="0" w:color="auto"/>
                <w:left w:val="none" w:sz="0" w:space="0" w:color="auto"/>
                <w:bottom w:val="none" w:sz="0" w:space="0" w:color="auto"/>
                <w:right w:val="none" w:sz="0" w:space="0" w:color="auto"/>
              </w:divBdr>
              <w:divsChild>
                <w:div w:id="434785235">
                  <w:marLeft w:val="0"/>
                  <w:marRight w:val="0"/>
                  <w:marTop w:val="0"/>
                  <w:marBottom w:val="0"/>
                  <w:divBdr>
                    <w:top w:val="none" w:sz="0" w:space="0" w:color="auto"/>
                    <w:left w:val="none" w:sz="0" w:space="0" w:color="auto"/>
                    <w:bottom w:val="none" w:sz="0" w:space="0" w:color="auto"/>
                    <w:right w:val="none" w:sz="0" w:space="0" w:color="auto"/>
                  </w:divBdr>
                  <w:divsChild>
                    <w:div w:id="1604532409">
                      <w:marLeft w:val="0"/>
                      <w:marRight w:val="0"/>
                      <w:marTop w:val="450"/>
                      <w:marBottom w:val="0"/>
                      <w:divBdr>
                        <w:top w:val="none" w:sz="0" w:space="0" w:color="auto"/>
                        <w:left w:val="none" w:sz="0" w:space="0" w:color="auto"/>
                        <w:bottom w:val="none" w:sz="0" w:space="0" w:color="auto"/>
                        <w:right w:val="none" w:sz="0" w:space="0" w:color="auto"/>
                      </w:divBdr>
                      <w:divsChild>
                        <w:div w:id="1486818117">
                          <w:marLeft w:val="0"/>
                          <w:marRight w:val="0"/>
                          <w:marTop w:val="240"/>
                          <w:marBottom w:val="0"/>
                          <w:divBdr>
                            <w:top w:val="none" w:sz="0" w:space="0" w:color="auto"/>
                            <w:left w:val="none" w:sz="0" w:space="0" w:color="auto"/>
                            <w:bottom w:val="none" w:sz="0" w:space="0" w:color="auto"/>
                            <w:right w:val="none" w:sz="0" w:space="0" w:color="auto"/>
                          </w:divBdr>
                          <w:divsChild>
                            <w:div w:id="467672542">
                              <w:marLeft w:val="0"/>
                              <w:marRight w:val="0"/>
                              <w:marTop w:val="0"/>
                              <w:marBottom w:val="0"/>
                              <w:divBdr>
                                <w:top w:val="none" w:sz="0" w:space="0" w:color="auto"/>
                                <w:left w:val="none" w:sz="0" w:space="0" w:color="auto"/>
                                <w:bottom w:val="none" w:sz="0" w:space="0" w:color="auto"/>
                                <w:right w:val="none" w:sz="0" w:space="0" w:color="auto"/>
                              </w:divBdr>
                              <w:divsChild>
                                <w:div w:id="1276248638">
                                  <w:marLeft w:val="60"/>
                                  <w:marRight w:val="0"/>
                                  <w:marTop w:val="150"/>
                                  <w:marBottom w:val="75"/>
                                  <w:divBdr>
                                    <w:top w:val="none" w:sz="0" w:space="0" w:color="auto"/>
                                    <w:left w:val="none" w:sz="0" w:space="0" w:color="auto"/>
                                    <w:bottom w:val="none" w:sz="0" w:space="0" w:color="auto"/>
                                    <w:right w:val="none" w:sz="0" w:space="0" w:color="auto"/>
                                  </w:divBdr>
                                  <w:divsChild>
                                    <w:div w:id="149638114">
                                      <w:marLeft w:val="75"/>
                                      <w:marRight w:val="0"/>
                                      <w:marTop w:val="0"/>
                                      <w:marBottom w:val="0"/>
                                      <w:divBdr>
                                        <w:top w:val="single" w:sz="6" w:space="0" w:color="CCCCCC"/>
                                        <w:left w:val="single" w:sz="6" w:space="0" w:color="CCCCCC"/>
                                        <w:bottom w:val="single" w:sz="6" w:space="0" w:color="CCCCCC"/>
                                        <w:right w:val="single" w:sz="6" w:space="0" w:color="CCCCCC"/>
                                      </w:divBdr>
                                      <w:divsChild>
                                        <w:div w:id="18649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letionarch.collegeboar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Faculty/Staff</dc:creator>
  <cp:lastModifiedBy>Maureen Pettitt</cp:lastModifiedBy>
  <cp:revision>4</cp:revision>
  <dcterms:created xsi:type="dcterms:W3CDTF">2013-06-17T18:13:00Z</dcterms:created>
  <dcterms:modified xsi:type="dcterms:W3CDTF">2013-06-17T19:09:00Z</dcterms:modified>
</cp:coreProperties>
</file>