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89" w:rsidRPr="00D86FB6" w:rsidRDefault="002E3289" w:rsidP="002E3289">
      <w:pPr>
        <w:pStyle w:val="NormalWeb"/>
        <w:rPr>
          <w:rStyle w:val="content1"/>
          <w:rFonts w:ascii="Calibri" w:hAnsi="Calibri" w:cs="Calibri"/>
          <w:b/>
          <w:sz w:val="24"/>
          <w:szCs w:val="24"/>
        </w:rPr>
      </w:pPr>
      <w:r w:rsidRPr="00D86FB6">
        <w:rPr>
          <w:rStyle w:val="content1"/>
          <w:rFonts w:ascii="Calibri" w:hAnsi="Calibri" w:cs="Calibri"/>
          <w:b/>
          <w:sz w:val="24"/>
          <w:szCs w:val="24"/>
        </w:rPr>
        <w:t>Name of the Accountability/Quality Program:</w:t>
      </w:r>
    </w:p>
    <w:p w:rsidR="002E3289" w:rsidRPr="00D86FB6" w:rsidRDefault="001A259E" w:rsidP="002E3289">
      <w:pPr>
        <w:pStyle w:val="NormalWeb"/>
        <w:rPr>
          <w:rStyle w:val="content1"/>
          <w:rFonts w:ascii="Calibri" w:hAnsi="Calibri" w:cs="Calibri"/>
          <w:sz w:val="24"/>
          <w:szCs w:val="24"/>
        </w:rPr>
      </w:pPr>
      <w:r>
        <w:rPr>
          <w:rStyle w:val="content1"/>
          <w:rFonts w:ascii="Calibri" w:hAnsi="Calibri" w:cs="Calibri"/>
          <w:sz w:val="24"/>
          <w:szCs w:val="24"/>
        </w:rPr>
        <w:t>GM</w:t>
      </w:r>
      <w:r w:rsidR="003E1734">
        <w:rPr>
          <w:rStyle w:val="content1"/>
          <w:rFonts w:ascii="Calibri" w:hAnsi="Calibri" w:cs="Calibri"/>
          <w:sz w:val="24"/>
          <w:szCs w:val="24"/>
        </w:rPr>
        <w:t>AP</w:t>
      </w:r>
      <w:r w:rsidR="00E41221" w:rsidRPr="00D86FB6">
        <w:rPr>
          <w:rStyle w:val="content1"/>
          <w:rFonts w:ascii="Calibri" w:hAnsi="Calibri" w:cs="Calibri"/>
          <w:sz w:val="24"/>
          <w:szCs w:val="24"/>
        </w:rPr>
        <w:t xml:space="preserve"> (</w:t>
      </w:r>
      <w:r w:rsidR="003E1734">
        <w:rPr>
          <w:rStyle w:val="content1"/>
          <w:rFonts w:ascii="Calibri" w:hAnsi="Calibri" w:cs="Calibri"/>
          <w:sz w:val="24"/>
          <w:szCs w:val="24"/>
        </w:rPr>
        <w:t>Government Management Accountability and Performance</w:t>
      </w:r>
      <w:r w:rsidR="00E41221" w:rsidRPr="00D86FB6">
        <w:rPr>
          <w:rStyle w:val="content1"/>
          <w:rFonts w:ascii="Calibri" w:hAnsi="Calibri" w:cs="Calibri"/>
          <w:sz w:val="24"/>
          <w:szCs w:val="24"/>
        </w:rPr>
        <w:t>)</w:t>
      </w:r>
    </w:p>
    <w:p w:rsidR="002E3289" w:rsidRPr="00D86FB6" w:rsidRDefault="002E3289" w:rsidP="002E3289">
      <w:pPr>
        <w:pStyle w:val="NormalWeb"/>
        <w:rPr>
          <w:rStyle w:val="content1"/>
          <w:rFonts w:ascii="Calibri" w:hAnsi="Calibri" w:cs="Calibri"/>
          <w:b/>
          <w:sz w:val="24"/>
          <w:szCs w:val="24"/>
        </w:rPr>
      </w:pPr>
      <w:r w:rsidRPr="00D86FB6">
        <w:rPr>
          <w:rStyle w:val="content1"/>
          <w:rFonts w:ascii="Calibri" w:hAnsi="Calibri" w:cs="Calibri"/>
          <w:b/>
          <w:sz w:val="24"/>
          <w:szCs w:val="24"/>
        </w:rPr>
        <w:t xml:space="preserve">Authors/Sponsors/Funders, </w:t>
      </w:r>
      <w:r w:rsidR="00D86FB6" w:rsidRPr="00D86FB6">
        <w:rPr>
          <w:rStyle w:val="content1"/>
          <w:rFonts w:ascii="Calibri" w:hAnsi="Calibri" w:cs="Calibri"/>
          <w:b/>
          <w:sz w:val="24"/>
          <w:szCs w:val="24"/>
        </w:rPr>
        <w:t>etc.</w:t>
      </w:r>
      <w:r w:rsidRPr="00D86FB6">
        <w:rPr>
          <w:rStyle w:val="content1"/>
          <w:rFonts w:ascii="Calibri" w:hAnsi="Calibri" w:cs="Calibri"/>
          <w:b/>
          <w:sz w:val="24"/>
          <w:szCs w:val="24"/>
        </w:rPr>
        <w:t>:</w:t>
      </w:r>
    </w:p>
    <w:p w:rsidR="002E3289" w:rsidRPr="00D86FB6" w:rsidRDefault="003E1734" w:rsidP="002E3289">
      <w:pPr>
        <w:pStyle w:val="NormalWeb"/>
        <w:rPr>
          <w:rStyle w:val="content1"/>
          <w:rFonts w:ascii="Calibri" w:hAnsi="Calibri" w:cs="Calibri"/>
          <w:sz w:val="24"/>
          <w:szCs w:val="24"/>
        </w:rPr>
      </w:pPr>
      <w:r>
        <w:rPr>
          <w:rStyle w:val="content1"/>
          <w:rFonts w:ascii="Calibri" w:hAnsi="Calibri" w:cs="Calibri"/>
          <w:sz w:val="24"/>
          <w:szCs w:val="24"/>
        </w:rPr>
        <w:t>Office of the Governor</w:t>
      </w:r>
      <w:r w:rsidR="001A259E">
        <w:rPr>
          <w:rStyle w:val="content1"/>
          <w:rFonts w:ascii="Calibri" w:hAnsi="Calibri" w:cs="Calibri"/>
          <w:sz w:val="24"/>
          <w:szCs w:val="24"/>
        </w:rPr>
        <w:t>,</w:t>
      </w:r>
      <w:r>
        <w:rPr>
          <w:rStyle w:val="content1"/>
          <w:rFonts w:ascii="Calibri" w:hAnsi="Calibri" w:cs="Calibri"/>
          <w:sz w:val="24"/>
          <w:szCs w:val="24"/>
        </w:rPr>
        <w:t xml:space="preserve"> State of Washington</w:t>
      </w:r>
    </w:p>
    <w:p w:rsidR="002E3289" w:rsidRPr="00D86FB6" w:rsidRDefault="002E3289" w:rsidP="002E3289">
      <w:pPr>
        <w:pStyle w:val="NormalWeb"/>
        <w:rPr>
          <w:rStyle w:val="content1"/>
          <w:rFonts w:ascii="Calibri" w:hAnsi="Calibri" w:cs="Calibri"/>
          <w:b/>
          <w:sz w:val="24"/>
          <w:szCs w:val="24"/>
        </w:rPr>
      </w:pPr>
      <w:r w:rsidRPr="00D86FB6">
        <w:rPr>
          <w:rStyle w:val="content1"/>
          <w:rFonts w:ascii="Calibri" w:hAnsi="Calibri" w:cs="Calibri"/>
          <w:b/>
          <w:sz w:val="24"/>
          <w:szCs w:val="24"/>
        </w:rPr>
        <w:t>URL:</w:t>
      </w:r>
    </w:p>
    <w:p w:rsidR="002E3289" w:rsidRPr="00D86FB6" w:rsidRDefault="00EF4562" w:rsidP="002E3289">
      <w:pPr>
        <w:pStyle w:val="NormalWeb"/>
        <w:rPr>
          <w:rStyle w:val="content1"/>
          <w:rFonts w:ascii="Calibri" w:hAnsi="Calibri" w:cs="Calibri"/>
          <w:sz w:val="24"/>
          <w:szCs w:val="24"/>
        </w:rPr>
      </w:pPr>
      <w:hyperlink r:id="rId7" w:history="1">
        <w:r w:rsidR="003E1734" w:rsidRPr="0083710A">
          <w:rPr>
            <w:rStyle w:val="Hyperlink"/>
            <w:rFonts w:ascii="Calibri" w:hAnsi="Calibri" w:cs="Calibri"/>
            <w:sz w:val="24"/>
            <w:szCs w:val="24"/>
          </w:rPr>
          <w:t>http://accountability.wa.gov</w:t>
        </w:r>
      </w:hyperlink>
      <w:r w:rsidR="003E1734">
        <w:rPr>
          <w:rStyle w:val="content1"/>
          <w:rFonts w:ascii="Calibri" w:hAnsi="Calibri" w:cs="Calibri"/>
          <w:sz w:val="24"/>
          <w:szCs w:val="24"/>
        </w:rPr>
        <w:t xml:space="preserve"> </w:t>
      </w:r>
    </w:p>
    <w:p w:rsidR="002E3289" w:rsidRDefault="002E3289" w:rsidP="002E3289">
      <w:pPr>
        <w:pStyle w:val="NormalWeb"/>
        <w:rPr>
          <w:rStyle w:val="content1"/>
          <w:rFonts w:ascii="Calibri" w:hAnsi="Calibri" w:cs="Calibri"/>
          <w:b/>
          <w:sz w:val="24"/>
          <w:szCs w:val="24"/>
        </w:rPr>
      </w:pPr>
      <w:r w:rsidRPr="00D86FB6">
        <w:rPr>
          <w:rStyle w:val="content1"/>
          <w:rFonts w:ascii="Calibri" w:hAnsi="Calibri" w:cs="Calibri"/>
          <w:b/>
          <w:sz w:val="24"/>
          <w:szCs w:val="24"/>
        </w:rPr>
        <w:t>Overview:</w:t>
      </w:r>
    </w:p>
    <w:p w:rsidR="003E1734" w:rsidRPr="003E1734" w:rsidRDefault="003E1734" w:rsidP="003E1734">
      <w:pPr>
        <w:pStyle w:val="NormalWeb"/>
        <w:rPr>
          <w:rFonts w:ascii="Calibri" w:hAnsi="Calibri" w:cs="Calibri"/>
          <w:sz w:val="24"/>
          <w:szCs w:val="24"/>
        </w:rPr>
      </w:pPr>
      <w:r w:rsidRPr="003E1734">
        <w:rPr>
          <w:rFonts w:ascii="Calibri" w:hAnsi="Calibri" w:cs="Calibri"/>
          <w:sz w:val="24"/>
          <w:szCs w:val="24"/>
        </w:rPr>
        <w:t>Government Management Accountability and Performance (GMAP) is the process that helps Washington state agencies measure and improve their performance. Washington State was the first state in the nation to adapt these data-based management models to improve the results of statewide programs and services.</w:t>
      </w:r>
    </w:p>
    <w:p w:rsidR="00D86FB6" w:rsidRDefault="003E1734" w:rsidP="003E1734">
      <w:pPr>
        <w:pStyle w:val="NormalWeb"/>
        <w:rPr>
          <w:rFonts w:ascii="Calibri" w:hAnsi="Calibri" w:cs="Calibri"/>
          <w:sz w:val="24"/>
          <w:szCs w:val="24"/>
        </w:rPr>
      </w:pPr>
      <w:r w:rsidRPr="003E1734">
        <w:rPr>
          <w:rFonts w:ascii="Calibri" w:hAnsi="Calibri" w:cs="Calibri"/>
          <w:sz w:val="24"/>
          <w:szCs w:val="24"/>
        </w:rPr>
        <w:t>GMAP is a tool set designed to hold state government and agency leadership accountable to customers, taxpayers, and citizens for the quality, efficiency, and effectiveness of the services Washington State government provides. Under GM</w:t>
      </w:r>
      <w:r>
        <w:rPr>
          <w:rFonts w:ascii="Calibri" w:hAnsi="Calibri" w:cs="Calibri"/>
          <w:sz w:val="24"/>
          <w:szCs w:val="24"/>
        </w:rPr>
        <w:t>AP, t</w:t>
      </w:r>
      <w:r w:rsidRPr="003E1734">
        <w:rPr>
          <w:rFonts w:ascii="Calibri" w:hAnsi="Calibri" w:cs="Calibri"/>
          <w:sz w:val="24"/>
          <w:szCs w:val="24"/>
        </w:rPr>
        <w:t xml:space="preserve">he Governor and her leadership team hold regular, </w:t>
      </w:r>
      <w:r w:rsidRPr="003E1734">
        <w:rPr>
          <w:rFonts w:ascii="Calibri" w:hAnsi="Calibri" w:cs="Calibri"/>
          <w:b/>
          <w:sz w:val="24"/>
          <w:szCs w:val="24"/>
        </w:rPr>
        <w:t>public</w:t>
      </w:r>
      <w:r w:rsidRPr="003E1734">
        <w:rPr>
          <w:rFonts w:ascii="Calibri" w:hAnsi="Calibri" w:cs="Calibri"/>
          <w:sz w:val="24"/>
          <w:szCs w:val="24"/>
        </w:rPr>
        <w:t xml:space="preserve"> meetings where agency </w:t>
      </w:r>
      <w:proofErr w:type="gramStart"/>
      <w:r w:rsidRPr="003E1734">
        <w:rPr>
          <w:rFonts w:ascii="Calibri" w:hAnsi="Calibri" w:cs="Calibri"/>
          <w:sz w:val="24"/>
          <w:szCs w:val="24"/>
        </w:rPr>
        <w:t>directors</w:t>
      </w:r>
      <w:proofErr w:type="gramEnd"/>
      <w:r w:rsidRPr="003E1734">
        <w:rPr>
          <w:rFonts w:ascii="Calibri" w:hAnsi="Calibri" w:cs="Calibri"/>
          <w:sz w:val="24"/>
          <w:szCs w:val="24"/>
        </w:rPr>
        <w:t xml:space="preserve"> report in person on the most important management and policy challenges they face in achieving results. The meetings are organized around </w:t>
      </w:r>
      <w:r>
        <w:rPr>
          <w:rFonts w:ascii="Calibri" w:hAnsi="Calibri" w:cs="Calibri"/>
          <w:sz w:val="24"/>
          <w:szCs w:val="24"/>
        </w:rPr>
        <w:t>major issue</w:t>
      </w:r>
      <w:r w:rsidR="00853EB2">
        <w:rPr>
          <w:rFonts w:ascii="Calibri" w:hAnsi="Calibri" w:cs="Calibri"/>
          <w:sz w:val="24"/>
          <w:szCs w:val="24"/>
        </w:rPr>
        <w:t xml:space="preserve"> area</w:t>
      </w:r>
      <w:r>
        <w:rPr>
          <w:rFonts w:ascii="Calibri" w:hAnsi="Calibri" w:cs="Calibri"/>
          <w:sz w:val="24"/>
          <w:szCs w:val="24"/>
        </w:rPr>
        <w:t>s such as education,</w:t>
      </w:r>
      <w:r w:rsidRPr="003E1734">
        <w:rPr>
          <w:rFonts w:ascii="Calibri" w:hAnsi="Calibri" w:cs="Calibri"/>
          <w:sz w:val="24"/>
          <w:szCs w:val="24"/>
        </w:rPr>
        <w:t xml:space="preserve"> public safety, economic vitality, and the protection of vulnerable children.</w:t>
      </w:r>
      <w:r>
        <w:rPr>
          <w:rFonts w:ascii="Calibri" w:hAnsi="Calibri" w:cs="Calibri"/>
          <w:sz w:val="24"/>
          <w:szCs w:val="24"/>
        </w:rPr>
        <w:t xml:space="preserve"> </w:t>
      </w:r>
      <w:r w:rsidRPr="003E1734">
        <w:rPr>
          <w:rFonts w:ascii="Calibri" w:hAnsi="Calibri" w:cs="Calibri"/>
          <w:sz w:val="24"/>
          <w:szCs w:val="24"/>
        </w:rPr>
        <w:t>The discussions are candid and direct, and the concept of “business as usual” is never automatically accepted. Decisions are based on analysis of data and evidence about what strategies work best. Agencies are held accountable to follow-up and report back on outstanding issues.</w:t>
      </w:r>
      <w:r w:rsidR="00853EB2">
        <w:rPr>
          <w:rFonts w:ascii="Calibri" w:hAnsi="Calibri" w:cs="Calibri"/>
          <w:sz w:val="24"/>
          <w:szCs w:val="24"/>
        </w:rPr>
        <w:t xml:space="preserve"> </w:t>
      </w:r>
    </w:p>
    <w:p w:rsidR="00853EB2" w:rsidRDefault="00853EB2" w:rsidP="003E1734">
      <w:pPr>
        <w:pStyle w:val="NormalWeb"/>
        <w:rPr>
          <w:rFonts w:ascii="Calibri" w:hAnsi="Calibri" w:cs="Calibri"/>
          <w:sz w:val="24"/>
          <w:szCs w:val="24"/>
        </w:rPr>
      </w:pPr>
      <w:r>
        <w:rPr>
          <w:rFonts w:ascii="Calibri" w:hAnsi="Calibri" w:cs="Calibri"/>
          <w:sz w:val="24"/>
          <w:szCs w:val="24"/>
        </w:rPr>
        <w:t xml:space="preserve">On the GMAP website are dashboards and supporting data organized around the major issue areas. The data is regularly updates and the measures were developed in meetings between the relevant agencies and the GMAP staff. The education dashboard is found here: </w:t>
      </w:r>
    </w:p>
    <w:p w:rsidR="00853EB2" w:rsidRDefault="00EF4562" w:rsidP="002E3289">
      <w:pPr>
        <w:spacing w:line="240" w:lineRule="auto"/>
        <w:rPr>
          <w:rFonts w:ascii="Calibri" w:eastAsia="Times New Roman" w:hAnsi="Calibri" w:cs="Calibri"/>
          <w:sz w:val="24"/>
          <w:szCs w:val="24"/>
        </w:rPr>
      </w:pPr>
      <w:hyperlink r:id="rId8" w:history="1">
        <w:r w:rsidR="00853EB2" w:rsidRPr="0083710A">
          <w:rPr>
            <w:rStyle w:val="Hyperlink"/>
            <w:rFonts w:ascii="Calibri" w:eastAsia="Times New Roman" w:hAnsi="Calibri" w:cs="Calibri"/>
            <w:sz w:val="24"/>
            <w:szCs w:val="24"/>
          </w:rPr>
          <w:t>http://performance.wa.gov/Education/Pages/default.aspx</w:t>
        </w:r>
      </w:hyperlink>
      <w:r w:rsidR="00853EB2">
        <w:rPr>
          <w:rFonts w:ascii="Calibri" w:eastAsia="Times New Roman" w:hAnsi="Calibri" w:cs="Calibri"/>
          <w:sz w:val="24"/>
          <w:szCs w:val="24"/>
        </w:rPr>
        <w:t xml:space="preserve"> </w:t>
      </w:r>
    </w:p>
    <w:p w:rsidR="007853A4" w:rsidRPr="00D86FB6" w:rsidRDefault="002E3289" w:rsidP="002E3289">
      <w:pPr>
        <w:spacing w:line="240" w:lineRule="auto"/>
        <w:rPr>
          <w:rFonts w:ascii="Calibri" w:hAnsi="Calibri" w:cs="Calibri"/>
          <w:b/>
          <w:sz w:val="24"/>
          <w:szCs w:val="24"/>
        </w:rPr>
      </w:pPr>
      <w:r w:rsidRPr="00D86FB6">
        <w:rPr>
          <w:rFonts w:ascii="Calibri" w:hAnsi="Calibri" w:cs="Calibri"/>
          <w:b/>
          <w:sz w:val="24"/>
          <w:szCs w:val="24"/>
        </w:rPr>
        <w:t xml:space="preserve">Specific </w:t>
      </w:r>
      <w:r w:rsidR="001A259E">
        <w:rPr>
          <w:rFonts w:ascii="Calibri" w:hAnsi="Calibri" w:cs="Calibri"/>
          <w:b/>
          <w:sz w:val="24"/>
          <w:szCs w:val="24"/>
        </w:rPr>
        <w:t>GMAP Education Dashboard Measures</w:t>
      </w:r>
      <w:r w:rsidR="009726B2">
        <w:rPr>
          <w:rFonts w:ascii="Calibri" w:hAnsi="Calibri" w:cs="Calibri"/>
          <w:b/>
          <w:sz w:val="24"/>
          <w:szCs w:val="24"/>
        </w:rPr>
        <w:t xml:space="preserve"> as of May 2012 (Subject to Change)</w:t>
      </w:r>
      <w:r w:rsidRPr="00D86FB6">
        <w:rPr>
          <w:rFonts w:ascii="Calibri" w:hAnsi="Calibri" w:cs="Calibri"/>
          <w:b/>
          <w:sz w:val="24"/>
          <w:szCs w:val="24"/>
        </w:rPr>
        <w:t>:</w:t>
      </w:r>
    </w:p>
    <w:p w:rsidR="00D86FB6" w:rsidRPr="009726B2" w:rsidRDefault="00853EB2" w:rsidP="00DA4EF3">
      <w:pPr>
        <w:pStyle w:val="ListParagraph"/>
        <w:numPr>
          <w:ilvl w:val="0"/>
          <w:numId w:val="3"/>
        </w:numPr>
        <w:spacing w:line="240" w:lineRule="auto"/>
        <w:rPr>
          <w:rFonts w:ascii="Calibri" w:hAnsi="Calibri" w:cs="Calibri"/>
          <w:sz w:val="24"/>
          <w:szCs w:val="24"/>
        </w:rPr>
      </w:pPr>
      <w:r w:rsidRPr="009726B2">
        <w:rPr>
          <w:rFonts w:ascii="Calibri" w:hAnsi="Calibri" w:cs="Calibri"/>
          <w:sz w:val="24"/>
          <w:szCs w:val="24"/>
        </w:rPr>
        <w:t>Access and Enrollment</w:t>
      </w:r>
    </w:p>
    <w:p w:rsidR="00853EB2" w:rsidRDefault="00853EB2" w:rsidP="00DA4EF3">
      <w:pPr>
        <w:pStyle w:val="ListParagraph"/>
        <w:numPr>
          <w:ilvl w:val="1"/>
          <w:numId w:val="3"/>
        </w:numPr>
        <w:spacing w:line="240" w:lineRule="auto"/>
        <w:rPr>
          <w:rFonts w:ascii="Calibri" w:hAnsi="Calibri" w:cs="Calibri"/>
          <w:sz w:val="24"/>
          <w:szCs w:val="24"/>
        </w:rPr>
      </w:pPr>
      <w:r w:rsidRPr="009726B2">
        <w:rPr>
          <w:rFonts w:ascii="Calibri" w:hAnsi="Calibri" w:cs="Calibri"/>
          <w:sz w:val="24"/>
          <w:szCs w:val="24"/>
        </w:rPr>
        <w:t xml:space="preserve">State-Funded </w:t>
      </w:r>
      <w:r w:rsidR="009726B2" w:rsidRPr="009726B2">
        <w:rPr>
          <w:rFonts w:ascii="Calibri" w:hAnsi="Calibri" w:cs="Calibri"/>
          <w:sz w:val="24"/>
          <w:szCs w:val="24"/>
        </w:rPr>
        <w:t>preschool enrollment</w:t>
      </w:r>
      <w:r w:rsidR="001A259E">
        <w:rPr>
          <w:rFonts w:ascii="Calibri" w:hAnsi="Calibri" w:cs="Calibri"/>
          <w:sz w:val="24"/>
          <w:szCs w:val="24"/>
        </w:rPr>
        <w:t xml:space="preserve"> (DEL)</w:t>
      </w:r>
    </w:p>
    <w:p w:rsidR="00DA4EF3" w:rsidRDefault="00DA4EF3" w:rsidP="00DA4EF3">
      <w:pPr>
        <w:pStyle w:val="ListParagraph"/>
        <w:spacing w:line="240" w:lineRule="auto"/>
        <w:ind w:left="792"/>
        <w:rPr>
          <w:rFonts w:ascii="Calibri" w:hAnsi="Calibri" w:cs="Calibri"/>
          <w:sz w:val="24"/>
          <w:szCs w:val="24"/>
        </w:rPr>
      </w:pPr>
      <w:r>
        <w:rPr>
          <w:rFonts w:ascii="Calibri" w:hAnsi="Calibri" w:cs="Calibri"/>
          <w:sz w:val="24"/>
          <w:szCs w:val="24"/>
        </w:rPr>
        <w:t>1.1</w:t>
      </w:r>
      <w:proofErr w:type="gramStart"/>
      <w:r>
        <w:rPr>
          <w:rFonts w:ascii="Calibri" w:hAnsi="Calibri" w:cs="Calibri"/>
          <w:sz w:val="24"/>
          <w:szCs w:val="24"/>
        </w:rPr>
        <w:t>.a</w:t>
      </w:r>
      <w:proofErr w:type="gramEnd"/>
      <w:r>
        <w:rPr>
          <w:rFonts w:ascii="Calibri" w:hAnsi="Calibri" w:cs="Calibri"/>
          <w:sz w:val="24"/>
          <w:szCs w:val="24"/>
        </w:rPr>
        <w:t xml:space="preserve"> Percentage of eligible children served</w:t>
      </w:r>
    </w:p>
    <w:p w:rsidR="00DA4EF3" w:rsidRDefault="00DA4EF3" w:rsidP="00DA4EF3">
      <w:pPr>
        <w:pStyle w:val="ListParagraph"/>
        <w:spacing w:line="240" w:lineRule="auto"/>
        <w:ind w:left="792"/>
        <w:rPr>
          <w:rFonts w:ascii="Calibri" w:hAnsi="Calibri" w:cs="Calibri"/>
          <w:sz w:val="24"/>
          <w:szCs w:val="24"/>
        </w:rPr>
      </w:pPr>
      <w:r>
        <w:rPr>
          <w:rFonts w:ascii="Calibri" w:hAnsi="Calibri" w:cs="Calibri"/>
          <w:sz w:val="24"/>
          <w:szCs w:val="24"/>
        </w:rPr>
        <w:t>1.1</w:t>
      </w:r>
      <w:proofErr w:type="gramStart"/>
      <w:r>
        <w:rPr>
          <w:rFonts w:ascii="Calibri" w:hAnsi="Calibri" w:cs="Calibri"/>
          <w:sz w:val="24"/>
          <w:szCs w:val="24"/>
        </w:rPr>
        <w:t>.b</w:t>
      </w:r>
      <w:proofErr w:type="gramEnd"/>
      <w:r>
        <w:rPr>
          <w:rFonts w:ascii="Calibri" w:hAnsi="Calibri" w:cs="Calibri"/>
          <w:sz w:val="24"/>
          <w:szCs w:val="24"/>
        </w:rPr>
        <w:t xml:space="preserve"> Enrollment by age</w:t>
      </w:r>
    </w:p>
    <w:p w:rsidR="00DA4EF3" w:rsidRDefault="00DA4EF3" w:rsidP="00DA4EF3">
      <w:pPr>
        <w:pStyle w:val="ListParagraph"/>
        <w:spacing w:line="240" w:lineRule="auto"/>
        <w:ind w:left="792"/>
        <w:rPr>
          <w:rFonts w:ascii="Calibri" w:hAnsi="Calibri" w:cs="Calibri"/>
          <w:sz w:val="24"/>
          <w:szCs w:val="24"/>
        </w:rPr>
      </w:pPr>
      <w:r>
        <w:rPr>
          <w:rFonts w:ascii="Calibri" w:hAnsi="Calibri" w:cs="Calibri"/>
          <w:sz w:val="24"/>
          <w:szCs w:val="24"/>
        </w:rPr>
        <w:t>1.1</w:t>
      </w:r>
      <w:proofErr w:type="gramStart"/>
      <w:r>
        <w:rPr>
          <w:rFonts w:ascii="Calibri" w:hAnsi="Calibri" w:cs="Calibri"/>
          <w:sz w:val="24"/>
          <w:szCs w:val="24"/>
        </w:rPr>
        <w:t>.c</w:t>
      </w:r>
      <w:proofErr w:type="gramEnd"/>
      <w:r>
        <w:rPr>
          <w:rFonts w:ascii="Calibri" w:hAnsi="Calibri" w:cs="Calibri"/>
          <w:sz w:val="24"/>
          <w:szCs w:val="24"/>
        </w:rPr>
        <w:t xml:space="preserve"> Child risk factors</w:t>
      </w:r>
    </w:p>
    <w:p w:rsidR="00DA4EF3" w:rsidRDefault="00DA4EF3" w:rsidP="00DA4EF3">
      <w:pPr>
        <w:pStyle w:val="ListParagraph"/>
        <w:spacing w:line="240" w:lineRule="auto"/>
        <w:ind w:left="792"/>
        <w:rPr>
          <w:rFonts w:ascii="Calibri" w:hAnsi="Calibri" w:cs="Calibri"/>
          <w:sz w:val="24"/>
          <w:szCs w:val="24"/>
        </w:rPr>
      </w:pPr>
      <w:r>
        <w:rPr>
          <w:rFonts w:ascii="Calibri" w:hAnsi="Calibri" w:cs="Calibri"/>
          <w:sz w:val="24"/>
          <w:szCs w:val="24"/>
        </w:rPr>
        <w:t>1.1</w:t>
      </w:r>
      <w:proofErr w:type="gramStart"/>
      <w:r>
        <w:rPr>
          <w:rFonts w:ascii="Calibri" w:hAnsi="Calibri" w:cs="Calibri"/>
          <w:sz w:val="24"/>
          <w:szCs w:val="24"/>
        </w:rPr>
        <w:t>.d</w:t>
      </w:r>
      <w:proofErr w:type="gramEnd"/>
      <w:r>
        <w:rPr>
          <w:rFonts w:ascii="Calibri" w:hAnsi="Calibri" w:cs="Calibri"/>
          <w:sz w:val="24"/>
          <w:szCs w:val="24"/>
        </w:rPr>
        <w:t xml:space="preserve"> Enrollment by family income</w:t>
      </w:r>
    </w:p>
    <w:p w:rsidR="00DA4EF3" w:rsidRDefault="00DA4EF3" w:rsidP="00DA4EF3">
      <w:pPr>
        <w:pStyle w:val="ListParagraph"/>
        <w:spacing w:line="240" w:lineRule="auto"/>
        <w:ind w:left="792"/>
        <w:rPr>
          <w:rFonts w:ascii="Calibri" w:hAnsi="Calibri" w:cs="Calibri"/>
          <w:sz w:val="24"/>
          <w:szCs w:val="24"/>
        </w:rPr>
      </w:pPr>
      <w:r>
        <w:rPr>
          <w:rFonts w:ascii="Calibri" w:hAnsi="Calibri" w:cs="Calibri"/>
          <w:sz w:val="24"/>
          <w:szCs w:val="24"/>
        </w:rPr>
        <w:lastRenderedPageBreak/>
        <w:t>1.1</w:t>
      </w:r>
      <w:proofErr w:type="gramStart"/>
      <w:r>
        <w:rPr>
          <w:rFonts w:ascii="Calibri" w:hAnsi="Calibri" w:cs="Calibri"/>
          <w:sz w:val="24"/>
          <w:szCs w:val="24"/>
        </w:rPr>
        <w:t>.e</w:t>
      </w:r>
      <w:proofErr w:type="gramEnd"/>
      <w:r>
        <w:rPr>
          <w:rFonts w:ascii="Calibri" w:hAnsi="Calibri" w:cs="Calibri"/>
          <w:sz w:val="24"/>
          <w:szCs w:val="24"/>
        </w:rPr>
        <w:t xml:space="preserve"> Enrollment by parents’ income</w:t>
      </w:r>
    </w:p>
    <w:p w:rsidR="00853EB2" w:rsidRDefault="009726B2" w:rsidP="00E02FAA">
      <w:pPr>
        <w:pStyle w:val="ListParagraph"/>
        <w:numPr>
          <w:ilvl w:val="1"/>
          <w:numId w:val="3"/>
        </w:numPr>
        <w:spacing w:after="0" w:line="240" w:lineRule="auto"/>
        <w:rPr>
          <w:rFonts w:ascii="Calibri" w:hAnsi="Calibri" w:cs="Calibri"/>
          <w:sz w:val="24"/>
          <w:szCs w:val="24"/>
        </w:rPr>
      </w:pPr>
      <w:r w:rsidRPr="009726B2">
        <w:rPr>
          <w:rFonts w:ascii="Calibri" w:hAnsi="Calibri" w:cs="Calibri"/>
          <w:sz w:val="24"/>
          <w:szCs w:val="24"/>
        </w:rPr>
        <w:t>Higher Education Participation</w:t>
      </w:r>
      <w:r w:rsidR="001A259E">
        <w:rPr>
          <w:rFonts w:ascii="Calibri" w:hAnsi="Calibri" w:cs="Calibri"/>
          <w:sz w:val="24"/>
          <w:szCs w:val="24"/>
        </w:rPr>
        <w:t xml:space="preserve"> (WSAC, SBCTC)</w:t>
      </w:r>
    </w:p>
    <w:p w:rsidR="00E02FAA" w:rsidRPr="00E02FAA" w:rsidRDefault="00E02FAA" w:rsidP="00E02FAA">
      <w:pPr>
        <w:spacing w:after="0" w:line="240" w:lineRule="auto"/>
        <w:ind w:left="720"/>
        <w:rPr>
          <w:rFonts w:ascii="Calibri" w:hAnsi="Calibri" w:cs="Calibri"/>
          <w:sz w:val="24"/>
          <w:szCs w:val="24"/>
        </w:rPr>
      </w:pPr>
      <w:r w:rsidRPr="00E02FAA">
        <w:rPr>
          <w:rFonts w:ascii="Calibri" w:hAnsi="Calibri" w:cs="Calibri"/>
          <w:sz w:val="24"/>
          <w:szCs w:val="24"/>
        </w:rPr>
        <w:t>1.2</w:t>
      </w:r>
      <w:proofErr w:type="gramStart"/>
      <w:r w:rsidRPr="00E02FAA">
        <w:rPr>
          <w:rFonts w:ascii="Calibri" w:hAnsi="Calibri" w:cs="Calibri"/>
          <w:sz w:val="24"/>
          <w:szCs w:val="24"/>
        </w:rPr>
        <w:t>.a</w:t>
      </w:r>
      <w:proofErr w:type="gramEnd"/>
      <w:r w:rsidRPr="00E02FAA">
        <w:rPr>
          <w:rFonts w:ascii="Calibri" w:hAnsi="Calibri" w:cs="Calibri"/>
          <w:sz w:val="24"/>
          <w:szCs w:val="24"/>
        </w:rPr>
        <w:t xml:space="preserve"> CTC enrollment</w:t>
      </w:r>
    </w:p>
    <w:p w:rsidR="00E02FAA" w:rsidRDefault="00E02FAA" w:rsidP="00E02FAA">
      <w:pPr>
        <w:tabs>
          <w:tab w:val="left" w:pos="1080"/>
        </w:tabs>
        <w:spacing w:after="0" w:line="240" w:lineRule="auto"/>
        <w:rPr>
          <w:rFonts w:ascii="Calibri" w:hAnsi="Calibri" w:cs="Calibri"/>
          <w:sz w:val="24"/>
          <w:szCs w:val="24"/>
        </w:rPr>
      </w:pPr>
      <w:r>
        <w:rPr>
          <w:rFonts w:ascii="Calibri" w:hAnsi="Calibri" w:cs="Calibri"/>
          <w:sz w:val="24"/>
          <w:szCs w:val="24"/>
        </w:rPr>
        <w:tab/>
        <w:t>1.2</w:t>
      </w:r>
      <w:proofErr w:type="gramStart"/>
      <w:r>
        <w:rPr>
          <w:rFonts w:ascii="Calibri" w:hAnsi="Calibri" w:cs="Calibri"/>
          <w:sz w:val="24"/>
          <w:szCs w:val="24"/>
        </w:rPr>
        <w:t>.a.1</w:t>
      </w:r>
      <w:proofErr w:type="gramEnd"/>
      <w:r>
        <w:rPr>
          <w:rFonts w:ascii="Calibri" w:hAnsi="Calibri" w:cs="Calibri"/>
          <w:sz w:val="24"/>
          <w:szCs w:val="24"/>
        </w:rPr>
        <w:t xml:space="preserve"> Minority student enrollment</w:t>
      </w:r>
    </w:p>
    <w:p w:rsidR="00E02FAA" w:rsidRDefault="00E02FAA" w:rsidP="00E02FAA">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Financial aid</w:t>
      </w:r>
      <w:r w:rsidR="001A259E">
        <w:rPr>
          <w:rFonts w:ascii="Calibri" w:hAnsi="Calibri" w:cs="Calibri"/>
          <w:sz w:val="24"/>
          <w:szCs w:val="24"/>
        </w:rPr>
        <w:t xml:space="preserve"> (WSAC)</w:t>
      </w:r>
    </w:p>
    <w:p w:rsidR="00E02FAA" w:rsidRPr="00E02FAA" w:rsidRDefault="00E02FAA" w:rsidP="00E02FAA">
      <w:pPr>
        <w:spacing w:after="0" w:line="240" w:lineRule="auto"/>
        <w:ind w:left="720"/>
        <w:rPr>
          <w:rFonts w:ascii="Calibri" w:hAnsi="Calibri" w:cs="Calibri"/>
          <w:sz w:val="24"/>
          <w:szCs w:val="24"/>
        </w:rPr>
      </w:pPr>
      <w:r>
        <w:rPr>
          <w:rFonts w:ascii="Calibri" w:hAnsi="Calibri" w:cs="Calibri"/>
          <w:sz w:val="24"/>
          <w:szCs w:val="24"/>
        </w:rPr>
        <w:t>1.3</w:t>
      </w:r>
      <w:proofErr w:type="gramStart"/>
      <w:r w:rsidRPr="00E02FAA">
        <w:rPr>
          <w:rFonts w:ascii="Calibri" w:hAnsi="Calibri" w:cs="Calibri"/>
          <w:sz w:val="24"/>
          <w:szCs w:val="24"/>
        </w:rPr>
        <w:t>.a</w:t>
      </w:r>
      <w:proofErr w:type="gramEnd"/>
      <w:r w:rsidRPr="00E02FAA">
        <w:rPr>
          <w:rFonts w:ascii="Calibri" w:hAnsi="Calibri" w:cs="Calibri"/>
          <w:sz w:val="24"/>
          <w:szCs w:val="24"/>
        </w:rPr>
        <w:t xml:space="preserve"> </w:t>
      </w:r>
      <w:r>
        <w:rPr>
          <w:rFonts w:ascii="Calibri" w:hAnsi="Calibri" w:cs="Calibri"/>
          <w:sz w:val="24"/>
          <w:szCs w:val="24"/>
        </w:rPr>
        <w:t>State Need Grant</w:t>
      </w:r>
    </w:p>
    <w:p w:rsidR="00E02FAA" w:rsidRPr="00E02FAA" w:rsidRDefault="00E02FAA" w:rsidP="00E02FAA">
      <w:pPr>
        <w:tabs>
          <w:tab w:val="left" w:pos="1080"/>
        </w:tabs>
        <w:spacing w:after="0" w:line="240" w:lineRule="auto"/>
        <w:rPr>
          <w:rFonts w:ascii="Calibri" w:hAnsi="Calibri" w:cs="Calibri"/>
          <w:sz w:val="24"/>
          <w:szCs w:val="24"/>
        </w:rPr>
      </w:pPr>
      <w:r w:rsidRPr="00E02FAA">
        <w:rPr>
          <w:rFonts w:ascii="Calibri" w:hAnsi="Calibri" w:cs="Calibri"/>
          <w:sz w:val="24"/>
          <w:szCs w:val="24"/>
        </w:rPr>
        <w:tab/>
        <w:t>1.</w:t>
      </w:r>
      <w:r>
        <w:rPr>
          <w:rFonts w:ascii="Calibri" w:hAnsi="Calibri" w:cs="Calibri"/>
          <w:sz w:val="24"/>
          <w:szCs w:val="24"/>
        </w:rPr>
        <w:t>3</w:t>
      </w:r>
      <w:proofErr w:type="gramStart"/>
      <w:r w:rsidRPr="00E02FAA">
        <w:rPr>
          <w:rFonts w:ascii="Calibri" w:hAnsi="Calibri" w:cs="Calibri"/>
          <w:sz w:val="24"/>
          <w:szCs w:val="24"/>
        </w:rPr>
        <w:t>.a.1</w:t>
      </w:r>
      <w:proofErr w:type="gramEnd"/>
      <w:r w:rsidRPr="00E02FAA">
        <w:rPr>
          <w:rFonts w:ascii="Calibri" w:hAnsi="Calibri" w:cs="Calibri"/>
          <w:sz w:val="24"/>
          <w:szCs w:val="24"/>
        </w:rPr>
        <w:t xml:space="preserve"> </w:t>
      </w:r>
      <w:proofErr w:type="spellStart"/>
      <w:r>
        <w:rPr>
          <w:rFonts w:ascii="Calibri" w:hAnsi="Calibri" w:cs="Calibri"/>
          <w:sz w:val="24"/>
          <w:szCs w:val="24"/>
        </w:rPr>
        <w:t>Unserved</w:t>
      </w:r>
      <w:proofErr w:type="spellEnd"/>
      <w:r>
        <w:rPr>
          <w:rFonts w:ascii="Calibri" w:hAnsi="Calibri" w:cs="Calibri"/>
          <w:sz w:val="24"/>
          <w:szCs w:val="24"/>
        </w:rPr>
        <w:t xml:space="preserve"> SNG students</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1.3</w:t>
      </w:r>
      <w:proofErr w:type="gramStart"/>
      <w:r>
        <w:rPr>
          <w:rFonts w:ascii="Calibri" w:hAnsi="Calibri" w:cs="Calibri"/>
          <w:sz w:val="24"/>
          <w:szCs w:val="24"/>
        </w:rPr>
        <w:t>.b</w:t>
      </w:r>
      <w:proofErr w:type="gramEnd"/>
      <w:r>
        <w:rPr>
          <w:rFonts w:ascii="Calibri" w:hAnsi="Calibri" w:cs="Calibri"/>
          <w:sz w:val="24"/>
          <w:szCs w:val="24"/>
        </w:rPr>
        <w:t xml:space="preserve"> State work study</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1.3</w:t>
      </w:r>
      <w:proofErr w:type="gramStart"/>
      <w:r>
        <w:rPr>
          <w:rFonts w:ascii="Calibri" w:hAnsi="Calibri" w:cs="Calibri"/>
          <w:sz w:val="24"/>
          <w:szCs w:val="24"/>
        </w:rPr>
        <w:t>.c</w:t>
      </w:r>
      <w:proofErr w:type="gramEnd"/>
      <w:r>
        <w:rPr>
          <w:rFonts w:ascii="Calibri" w:hAnsi="Calibri" w:cs="Calibri"/>
          <w:sz w:val="24"/>
          <w:szCs w:val="24"/>
        </w:rPr>
        <w:t xml:space="preserve"> College Bound Scholarship</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1.3</w:t>
      </w:r>
      <w:proofErr w:type="gramStart"/>
      <w:r>
        <w:rPr>
          <w:rFonts w:ascii="Calibri" w:hAnsi="Calibri" w:cs="Calibri"/>
          <w:sz w:val="24"/>
          <w:szCs w:val="24"/>
        </w:rPr>
        <w:t>.d</w:t>
      </w:r>
      <w:proofErr w:type="gramEnd"/>
      <w:r>
        <w:rPr>
          <w:rFonts w:ascii="Calibri" w:hAnsi="Calibri" w:cs="Calibri"/>
          <w:sz w:val="24"/>
          <w:szCs w:val="24"/>
        </w:rPr>
        <w:t xml:space="preserve"> Passport to College Scholarship</w:t>
      </w:r>
    </w:p>
    <w:p w:rsidR="00E02FAA" w:rsidRDefault="00E02FAA" w:rsidP="00E02FAA">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E-Learning</w:t>
      </w:r>
      <w:r w:rsidR="001A259E">
        <w:rPr>
          <w:rFonts w:ascii="Calibri" w:hAnsi="Calibri" w:cs="Calibri"/>
          <w:sz w:val="24"/>
          <w:szCs w:val="24"/>
        </w:rPr>
        <w:t xml:space="preserve"> (SBCTC)</w:t>
      </w:r>
    </w:p>
    <w:p w:rsidR="00E02FAA" w:rsidRDefault="00E02FAA" w:rsidP="00E02FAA">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Foster child school changes</w:t>
      </w:r>
    </w:p>
    <w:p w:rsidR="00E02FAA" w:rsidRDefault="00E02FAA" w:rsidP="00E02FAA">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Student Accomplishment</w:t>
      </w:r>
    </w:p>
    <w:p w:rsidR="00E02FAA" w:rsidRDefault="00E02FAA" w:rsidP="00E02FAA">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State-funded preschooler learning outcomes</w:t>
      </w:r>
      <w:r w:rsidR="001A259E">
        <w:rPr>
          <w:rFonts w:ascii="Calibri" w:hAnsi="Calibri" w:cs="Calibri"/>
          <w:sz w:val="24"/>
          <w:szCs w:val="24"/>
        </w:rPr>
        <w:t xml:space="preserve"> (DEL)</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2.1</w:t>
      </w:r>
      <w:proofErr w:type="gramStart"/>
      <w:r w:rsidRPr="00E02FAA">
        <w:rPr>
          <w:rFonts w:ascii="Calibri" w:hAnsi="Calibri" w:cs="Calibri"/>
          <w:sz w:val="24"/>
          <w:szCs w:val="24"/>
        </w:rPr>
        <w:t>.a</w:t>
      </w:r>
      <w:proofErr w:type="gramEnd"/>
      <w:r w:rsidRPr="00E02FAA">
        <w:rPr>
          <w:rFonts w:ascii="Calibri" w:hAnsi="Calibri" w:cs="Calibri"/>
          <w:sz w:val="24"/>
          <w:szCs w:val="24"/>
        </w:rPr>
        <w:t xml:space="preserve"> </w:t>
      </w:r>
      <w:r>
        <w:rPr>
          <w:rFonts w:ascii="Calibri" w:hAnsi="Calibri" w:cs="Calibri"/>
          <w:sz w:val="24"/>
          <w:szCs w:val="24"/>
        </w:rPr>
        <w:t>Social-emotional skill improvement</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2.1</w:t>
      </w:r>
      <w:proofErr w:type="gramStart"/>
      <w:r>
        <w:rPr>
          <w:rFonts w:ascii="Calibri" w:hAnsi="Calibri" w:cs="Calibri"/>
          <w:sz w:val="24"/>
          <w:szCs w:val="24"/>
        </w:rPr>
        <w:t>.b</w:t>
      </w:r>
      <w:proofErr w:type="gramEnd"/>
      <w:r>
        <w:rPr>
          <w:rFonts w:ascii="Calibri" w:hAnsi="Calibri" w:cs="Calibri"/>
          <w:sz w:val="24"/>
          <w:szCs w:val="24"/>
        </w:rPr>
        <w:t xml:space="preserve"> Behavioral improvement</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2.1</w:t>
      </w:r>
      <w:proofErr w:type="gramStart"/>
      <w:r>
        <w:rPr>
          <w:rFonts w:ascii="Calibri" w:hAnsi="Calibri" w:cs="Calibri"/>
          <w:sz w:val="24"/>
          <w:szCs w:val="24"/>
        </w:rPr>
        <w:t>.c</w:t>
      </w:r>
      <w:proofErr w:type="gramEnd"/>
      <w:r>
        <w:rPr>
          <w:rFonts w:ascii="Calibri" w:hAnsi="Calibri" w:cs="Calibri"/>
          <w:sz w:val="24"/>
          <w:szCs w:val="24"/>
        </w:rPr>
        <w:t xml:space="preserve"> Medical exams</w:t>
      </w:r>
    </w:p>
    <w:p w:rsidR="00E02FAA" w:rsidRDefault="00E02FAA" w:rsidP="00E02FAA">
      <w:pPr>
        <w:spacing w:after="0" w:line="240" w:lineRule="auto"/>
        <w:ind w:left="720"/>
        <w:rPr>
          <w:rFonts w:ascii="Calibri" w:hAnsi="Calibri" w:cs="Calibri"/>
          <w:sz w:val="24"/>
          <w:szCs w:val="24"/>
        </w:rPr>
      </w:pPr>
      <w:r>
        <w:rPr>
          <w:rFonts w:ascii="Calibri" w:hAnsi="Calibri" w:cs="Calibri"/>
          <w:sz w:val="24"/>
          <w:szCs w:val="24"/>
        </w:rPr>
        <w:t>2.1</w:t>
      </w:r>
      <w:proofErr w:type="gramStart"/>
      <w:r>
        <w:rPr>
          <w:rFonts w:ascii="Calibri" w:hAnsi="Calibri" w:cs="Calibri"/>
          <w:sz w:val="24"/>
          <w:szCs w:val="24"/>
        </w:rPr>
        <w:t>.d</w:t>
      </w:r>
      <w:proofErr w:type="gramEnd"/>
      <w:r w:rsidR="00DD2007">
        <w:rPr>
          <w:rFonts w:ascii="Calibri" w:hAnsi="Calibri" w:cs="Calibri"/>
          <w:sz w:val="24"/>
          <w:szCs w:val="24"/>
        </w:rPr>
        <w:t xml:space="preserve"> Dental screenings</w:t>
      </w:r>
    </w:p>
    <w:p w:rsidR="00DD2007" w:rsidRPr="00E02FAA" w:rsidRDefault="00DD2007" w:rsidP="00E02FAA">
      <w:pPr>
        <w:spacing w:after="0" w:line="240" w:lineRule="auto"/>
        <w:ind w:left="720"/>
        <w:rPr>
          <w:rFonts w:ascii="Calibri" w:hAnsi="Calibri" w:cs="Calibri"/>
          <w:sz w:val="24"/>
          <w:szCs w:val="24"/>
        </w:rPr>
      </w:pPr>
      <w:r>
        <w:rPr>
          <w:rFonts w:ascii="Calibri" w:hAnsi="Calibri" w:cs="Calibri"/>
          <w:sz w:val="24"/>
          <w:szCs w:val="24"/>
        </w:rPr>
        <w:t>2.1</w:t>
      </w:r>
      <w:proofErr w:type="gramStart"/>
      <w:r>
        <w:rPr>
          <w:rFonts w:ascii="Calibri" w:hAnsi="Calibri" w:cs="Calibri"/>
          <w:sz w:val="24"/>
          <w:szCs w:val="24"/>
        </w:rPr>
        <w:t>.e</w:t>
      </w:r>
      <w:proofErr w:type="gramEnd"/>
      <w:r>
        <w:rPr>
          <w:rFonts w:ascii="Calibri" w:hAnsi="Calibri" w:cs="Calibri"/>
          <w:sz w:val="24"/>
          <w:szCs w:val="24"/>
        </w:rPr>
        <w:t xml:space="preserve"> Family outcomes</w:t>
      </w:r>
    </w:p>
    <w:p w:rsidR="00E02FAA" w:rsidRDefault="00DD2007" w:rsidP="00E02FAA">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CTC student achievement</w:t>
      </w:r>
      <w:r w:rsidR="001A259E">
        <w:rPr>
          <w:rFonts w:ascii="Calibri" w:hAnsi="Calibri" w:cs="Calibri"/>
          <w:sz w:val="24"/>
          <w:szCs w:val="24"/>
        </w:rPr>
        <w:t xml:space="preserve"> (SBCTC)</w:t>
      </w:r>
    </w:p>
    <w:p w:rsidR="00DD2007" w:rsidRDefault="00DD2007" w:rsidP="00DD2007">
      <w:pPr>
        <w:spacing w:after="0" w:line="240" w:lineRule="auto"/>
        <w:ind w:left="720"/>
        <w:rPr>
          <w:rFonts w:ascii="Calibri" w:hAnsi="Calibri" w:cs="Calibri"/>
          <w:sz w:val="24"/>
          <w:szCs w:val="24"/>
        </w:rPr>
      </w:pPr>
      <w:r>
        <w:rPr>
          <w:rFonts w:ascii="Calibri" w:hAnsi="Calibri" w:cs="Calibri"/>
          <w:sz w:val="24"/>
          <w:szCs w:val="24"/>
        </w:rPr>
        <w:t>2.2</w:t>
      </w:r>
      <w:proofErr w:type="gramStart"/>
      <w:r>
        <w:rPr>
          <w:rFonts w:ascii="Calibri" w:hAnsi="Calibri" w:cs="Calibri"/>
          <w:sz w:val="24"/>
          <w:szCs w:val="24"/>
        </w:rPr>
        <w:t>.a</w:t>
      </w:r>
      <w:proofErr w:type="gramEnd"/>
      <w:r>
        <w:rPr>
          <w:rFonts w:ascii="Calibri" w:hAnsi="Calibri" w:cs="Calibri"/>
          <w:sz w:val="24"/>
          <w:szCs w:val="24"/>
        </w:rPr>
        <w:t xml:space="preserve"> Basic skill gains</w:t>
      </w:r>
    </w:p>
    <w:p w:rsidR="00DD2007" w:rsidRDefault="00DD2007" w:rsidP="00DD2007">
      <w:pPr>
        <w:spacing w:after="0" w:line="240" w:lineRule="auto"/>
        <w:ind w:left="720"/>
        <w:rPr>
          <w:rFonts w:ascii="Calibri" w:hAnsi="Calibri" w:cs="Calibri"/>
          <w:sz w:val="24"/>
          <w:szCs w:val="24"/>
        </w:rPr>
      </w:pPr>
      <w:r>
        <w:rPr>
          <w:rFonts w:ascii="Calibri" w:hAnsi="Calibri" w:cs="Calibri"/>
          <w:sz w:val="24"/>
          <w:szCs w:val="24"/>
        </w:rPr>
        <w:t>2.2</w:t>
      </w:r>
      <w:proofErr w:type="gramStart"/>
      <w:r>
        <w:rPr>
          <w:rFonts w:ascii="Calibri" w:hAnsi="Calibri" w:cs="Calibri"/>
          <w:sz w:val="24"/>
          <w:szCs w:val="24"/>
        </w:rPr>
        <w:t>.b</w:t>
      </w:r>
      <w:proofErr w:type="gramEnd"/>
      <w:r>
        <w:rPr>
          <w:rFonts w:ascii="Calibri" w:hAnsi="Calibri" w:cs="Calibri"/>
          <w:sz w:val="24"/>
          <w:szCs w:val="24"/>
        </w:rPr>
        <w:t xml:space="preserve"> Pre-college course completion</w:t>
      </w:r>
    </w:p>
    <w:p w:rsidR="00B403E8" w:rsidRDefault="00B403E8" w:rsidP="00DD2007">
      <w:pPr>
        <w:spacing w:after="0" w:line="240" w:lineRule="auto"/>
        <w:ind w:left="720"/>
        <w:rPr>
          <w:rFonts w:ascii="Calibri" w:hAnsi="Calibri" w:cs="Calibri"/>
          <w:sz w:val="24"/>
          <w:szCs w:val="24"/>
        </w:rPr>
      </w:pPr>
      <w:r>
        <w:rPr>
          <w:rFonts w:ascii="Calibri" w:hAnsi="Calibri" w:cs="Calibri"/>
          <w:sz w:val="24"/>
          <w:szCs w:val="24"/>
        </w:rPr>
        <w:t>2.2</w:t>
      </w:r>
      <w:proofErr w:type="gramStart"/>
      <w:r>
        <w:rPr>
          <w:rFonts w:ascii="Calibri" w:hAnsi="Calibri" w:cs="Calibri"/>
          <w:sz w:val="24"/>
          <w:szCs w:val="24"/>
        </w:rPr>
        <w:t>.c</w:t>
      </w:r>
      <w:proofErr w:type="gramEnd"/>
      <w:r>
        <w:rPr>
          <w:rFonts w:ascii="Calibri" w:hAnsi="Calibri" w:cs="Calibri"/>
          <w:sz w:val="24"/>
          <w:szCs w:val="24"/>
        </w:rPr>
        <w:t xml:space="preserve"> First 15 &amp; 30 credits</w:t>
      </w:r>
    </w:p>
    <w:p w:rsidR="00B403E8" w:rsidRDefault="00B403E8" w:rsidP="00DD2007">
      <w:pPr>
        <w:spacing w:after="0" w:line="240" w:lineRule="auto"/>
        <w:ind w:left="720"/>
        <w:rPr>
          <w:rFonts w:ascii="Calibri" w:hAnsi="Calibri" w:cs="Calibri"/>
          <w:sz w:val="24"/>
          <w:szCs w:val="24"/>
        </w:rPr>
      </w:pPr>
      <w:r>
        <w:rPr>
          <w:rFonts w:ascii="Calibri" w:hAnsi="Calibri" w:cs="Calibri"/>
          <w:sz w:val="24"/>
          <w:szCs w:val="24"/>
        </w:rPr>
        <w:t>2.2</w:t>
      </w:r>
      <w:proofErr w:type="gramStart"/>
      <w:r>
        <w:rPr>
          <w:rFonts w:ascii="Calibri" w:hAnsi="Calibri" w:cs="Calibri"/>
          <w:sz w:val="24"/>
          <w:szCs w:val="24"/>
        </w:rPr>
        <w:t>.d</w:t>
      </w:r>
      <w:proofErr w:type="gramEnd"/>
      <w:r>
        <w:rPr>
          <w:rFonts w:ascii="Calibri" w:hAnsi="Calibri" w:cs="Calibri"/>
          <w:sz w:val="24"/>
          <w:szCs w:val="24"/>
        </w:rPr>
        <w:t xml:space="preserve"> First 5 math credits</w:t>
      </w:r>
    </w:p>
    <w:p w:rsidR="00B403E8" w:rsidRDefault="00B403E8" w:rsidP="00DD2007">
      <w:pPr>
        <w:spacing w:after="0" w:line="240" w:lineRule="auto"/>
        <w:ind w:left="720"/>
        <w:rPr>
          <w:rFonts w:ascii="Calibri" w:hAnsi="Calibri" w:cs="Calibri"/>
          <w:sz w:val="24"/>
          <w:szCs w:val="24"/>
        </w:rPr>
      </w:pPr>
      <w:r>
        <w:rPr>
          <w:rFonts w:ascii="Calibri" w:hAnsi="Calibri" w:cs="Calibri"/>
          <w:sz w:val="24"/>
          <w:szCs w:val="24"/>
        </w:rPr>
        <w:t>2.2</w:t>
      </w:r>
      <w:proofErr w:type="gramStart"/>
      <w:r>
        <w:rPr>
          <w:rFonts w:ascii="Calibri" w:hAnsi="Calibri" w:cs="Calibri"/>
          <w:sz w:val="24"/>
          <w:szCs w:val="24"/>
        </w:rPr>
        <w:t>.e</w:t>
      </w:r>
      <w:proofErr w:type="gramEnd"/>
      <w:r>
        <w:rPr>
          <w:rFonts w:ascii="Calibri" w:hAnsi="Calibri" w:cs="Calibri"/>
          <w:sz w:val="24"/>
          <w:szCs w:val="24"/>
        </w:rPr>
        <w:t xml:space="preserve"> Certificate, degree and apprenticeship completions</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[Deleted]</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Workforce training completion</w:t>
      </w:r>
      <w:r w:rsidR="001A259E">
        <w:rPr>
          <w:rFonts w:ascii="Calibri" w:hAnsi="Calibri" w:cs="Calibri"/>
          <w:sz w:val="24"/>
          <w:szCs w:val="24"/>
        </w:rPr>
        <w:t xml:space="preserve"> (WTECB, SBCTC)</w:t>
      </w:r>
    </w:p>
    <w:p w:rsidR="00B403E8" w:rsidRDefault="00B403E8" w:rsidP="00B403E8">
      <w:pPr>
        <w:spacing w:after="0" w:line="240" w:lineRule="auto"/>
        <w:ind w:left="720"/>
        <w:rPr>
          <w:rFonts w:ascii="Calibri" w:hAnsi="Calibri" w:cs="Calibri"/>
          <w:sz w:val="24"/>
          <w:szCs w:val="24"/>
        </w:rPr>
      </w:pPr>
      <w:r>
        <w:rPr>
          <w:rFonts w:ascii="Calibri" w:hAnsi="Calibri" w:cs="Calibri"/>
          <w:sz w:val="24"/>
          <w:szCs w:val="24"/>
        </w:rPr>
        <w:t>2.4</w:t>
      </w:r>
      <w:proofErr w:type="gramStart"/>
      <w:r>
        <w:rPr>
          <w:rFonts w:ascii="Calibri" w:hAnsi="Calibri" w:cs="Calibri"/>
          <w:sz w:val="24"/>
          <w:szCs w:val="24"/>
        </w:rPr>
        <w:t>.a</w:t>
      </w:r>
      <w:proofErr w:type="gramEnd"/>
      <w:r>
        <w:rPr>
          <w:rFonts w:ascii="Calibri" w:hAnsi="Calibri" w:cs="Calibri"/>
          <w:sz w:val="24"/>
          <w:szCs w:val="24"/>
        </w:rPr>
        <w:t xml:space="preserve"> CTC workforce training completion</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[Deleted]</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CTC transfer rate</w:t>
      </w:r>
      <w:r w:rsidR="001A259E">
        <w:rPr>
          <w:rFonts w:ascii="Calibri" w:hAnsi="Calibri" w:cs="Calibri"/>
          <w:sz w:val="24"/>
          <w:szCs w:val="24"/>
        </w:rPr>
        <w:t xml:space="preserve"> (SBCTC, WSAC)</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Foster youth graduation rate</w:t>
      </w:r>
      <w:r w:rsidR="001A259E">
        <w:rPr>
          <w:rFonts w:ascii="Calibri" w:hAnsi="Calibri" w:cs="Calibri"/>
          <w:sz w:val="24"/>
          <w:szCs w:val="24"/>
        </w:rPr>
        <w:t xml:space="preserve"> (DSHS)</w:t>
      </w:r>
    </w:p>
    <w:p w:rsidR="00B403E8" w:rsidRDefault="00B403E8" w:rsidP="00B403E8">
      <w:pPr>
        <w:pStyle w:val="ListParagraph"/>
        <w:numPr>
          <w:ilvl w:val="0"/>
          <w:numId w:val="3"/>
        </w:numPr>
        <w:spacing w:after="0" w:line="240" w:lineRule="auto"/>
        <w:rPr>
          <w:rFonts w:ascii="Calibri" w:hAnsi="Calibri" w:cs="Calibri"/>
          <w:sz w:val="24"/>
          <w:szCs w:val="24"/>
        </w:rPr>
      </w:pPr>
      <w:r>
        <w:rPr>
          <w:rFonts w:ascii="Calibri" w:hAnsi="Calibri" w:cs="Calibri"/>
          <w:sz w:val="24"/>
          <w:szCs w:val="24"/>
        </w:rPr>
        <w:t>Student and Economic Outcomes</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Degree and certificate production</w:t>
      </w:r>
      <w:r w:rsidR="001A259E">
        <w:rPr>
          <w:rFonts w:ascii="Calibri" w:hAnsi="Calibri" w:cs="Calibri"/>
          <w:sz w:val="24"/>
          <w:szCs w:val="24"/>
        </w:rPr>
        <w:t xml:space="preserve"> (WSAC, SBCTC)</w:t>
      </w:r>
    </w:p>
    <w:p w:rsidR="00B403E8" w:rsidRDefault="00B403E8" w:rsidP="00B403E8">
      <w:pPr>
        <w:spacing w:after="0" w:line="240" w:lineRule="auto"/>
        <w:ind w:left="720"/>
        <w:rPr>
          <w:rFonts w:ascii="Calibri" w:hAnsi="Calibri" w:cs="Calibri"/>
          <w:sz w:val="24"/>
          <w:szCs w:val="24"/>
        </w:rPr>
      </w:pPr>
      <w:r>
        <w:rPr>
          <w:rFonts w:ascii="Calibri" w:hAnsi="Calibri" w:cs="Calibri"/>
          <w:sz w:val="24"/>
          <w:szCs w:val="24"/>
        </w:rPr>
        <w:t>3.1</w:t>
      </w:r>
      <w:proofErr w:type="gramStart"/>
      <w:r>
        <w:rPr>
          <w:rFonts w:ascii="Calibri" w:hAnsi="Calibri" w:cs="Calibri"/>
          <w:sz w:val="24"/>
          <w:szCs w:val="24"/>
        </w:rPr>
        <w:t>.a</w:t>
      </w:r>
      <w:proofErr w:type="gramEnd"/>
      <w:r>
        <w:rPr>
          <w:rFonts w:ascii="Calibri" w:hAnsi="Calibri" w:cs="Calibri"/>
          <w:sz w:val="24"/>
          <w:szCs w:val="24"/>
        </w:rPr>
        <w:t xml:space="preserve"> Sub-baccalaureate degrees and certificates</w:t>
      </w:r>
    </w:p>
    <w:p w:rsidR="00B403E8" w:rsidRDefault="00B403E8" w:rsidP="00B403E8">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High demand degrees and certificates</w:t>
      </w:r>
      <w:r w:rsidR="001A259E">
        <w:rPr>
          <w:rFonts w:ascii="Calibri" w:hAnsi="Calibri" w:cs="Calibri"/>
          <w:sz w:val="24"/>
          <w:szCs w:val="24"/>
        </w:rPr>
        <w:t xml:space="preserve"> (WSAC, SBCTC)</w:t>
      </w:r>
    </w:p>
    <w:p w:rsidR="00B403E8" w:rsidRDefault="00B403E8" w:rsidP="00B403E8">
      <w:pPr>
        <w:spacing w:after="0" w:line="240" w:lineRule="auto"/>
        <w:ind w:left="720"/>
        <w:rPr>
          <w:rFonts w:ascii="Calibri" w:hAnsi="Calibri" w:cs="Calibri"/>
          <w:sz w:val="24"/>
          <w:szCs w:val="24"/>
        </w:rPr>
      </w:pPr>
      <w:r>
        <w:rPr>
          <w:rFonts w:ascii="Calibri" w:hAnsi="Calibri" w:cs="Calibri"/>
          <w:sz w:val="24"/>
          <w:szCs w:val="24"/>
        </w:rPr>
        <w:t>3.2</w:t>
      </w:r>
      <w:proofErr w:type="gramStart"/>
      <w:r>
        <w:rPr>
          <w:rFonts w:ascii="Calibri" w:hAnsi="Calibri" w:cs="Calibri"/>
          <w:sz w:val="24"/>
          <w:szCs w:val="24"/>
        </w:rPr>
        <w:t>.a</w:t>
      </w:r>
      <w:proofErr w:type="gramEnd"/>
      <w:r>
        <w:rPr>
          <w:rFonts w:ascii="Calibri" w:hAnsi="Calibri" w:cs="Calibri"/>
          <w:sz w:val="24"/>
          <w:szCs w:val="24"/>
        </w:rPr>
        <w:t xml:space="preserve"> High demand sub-baccalaureate degrees and certificates</w:t>
      </w:r>
    </w:p>
    <w:p w:rsidR="00B403E8" w:rsidRPr="00DD2007" w:rsidRDefault="00B403E8" w:rsidP="00B403E8">
      <w:pPr>
        <w:spacing w:after="0" w:line="240" w:lineRule="auto"/>
        <w:ind w:left="720"/>
        <w:rPr>
          <w:rFonts w:ascii="Calibri" w:hAnsi="Calibri" w:cs="Calibri"/>
          <w:sz w:val="24"/>
          <w:szCs w:val="24"/>
        </w:rPr>
      </w:pPr>
      <w:r>
        <w:rPr>
          <w:rFonts w:ascii="Calibri" w:hAnsi="Calibri" w:cs="Calibri"/>
          <w:sz w:val="24"/>
          <w:szCs w:val="24"/>
        </w:rPr>
        <w:t>3.2</w:t>
      </w:r>
      <w:proofErr w:type="gramStart"/>
      <w:r>
        <w:rPr>
          <w:rFonts w:ascii="Calibri" w:hAnsi="Calibri" w:cs="Calibri"/>
          <w:sz w:val="24"/>
          <w:szCs w:val="24"/>
        </w:rPr>
        <w:t>.b</w:t>
      </w:r>
      <w:proofErr w:type="gramEnd"/>
      <w:r>
        <w:rPr>
          <w:rFonts w:ascii="Calibri" w:hAnsi="Calibri" w:cs="Calibri"/>
          <w:sz w:val="24"/>
          <w:szCs w:val="24"/>
        </w:rPr>
        <w:t xml:space="preserve"> [Deleted]</w:t>
      </w:r>
    </w:p>
    <w:p w:rsidR="00B403E8" w:rsidRPr="00DD2007" w:rsidRDefault="00B403E8" w:rsidP="00B403E8">
      <w:pPr>
        <w:spacing w:after="0" w:line="240" w:lineRule="auto"/>
        <w:ind w:left="720"/>
        <w:rPr>
          <w:rFonts w:ascii="Calibri" w:hAnsi="Calibri" w:cs="Calibri"/>
          <w:sz w:val="24"/>
          <w:szCs w:val="24"/>
        </w:rPr>
      </w:pPr>
      <w:r>
        <w:rPr>
          <w:rFonts w:ascii="Calibri" w:hAnsi="Calibri" w:cs="Calibri"/>
          <w:sz w:val="24"/>
          <w:szCs w:val="24"/>
        </w:rPr>
        <w:t>3.2</w:t>
      </w:r>
      <w:proofErr w:type="gramStart"/>
      <w:r>
        <w:rPr>
          <w:rFonts w:ascii="Calibri" w:hAnsi="Calibri" w:cs="Calibri"/>
          <w:sz w:val="24"/>
          <w:szCs w:val="24"/>
        </w:rPr>
        <w:t>.c</w:t>
      </w:r>
      <w:proofErr w:type="gramEnd"/>
      <w:r>
        <w:rPr>
          <w:rFonts w:ascii="Calibri" w:hAnsi="Calibri" w:cs="Calibri"/>
          <w:sz w:val="24"/>
          <w:szCs w:val="24"/>
        </w:rPr>
        <w:t xml:space="preserve"> [Deleted]</w:t>
      </w:r>
    </w:p>
    <w:p w:rsidR="00B403E8" w:rsidRPr="00DD2007" w:rsidRDefault="00B403E8" w:rsidP="00B403E8">
      <w:pPr>
        <w:spacing w:after="0" w:line="240" w:lineRule="auto"/>
        <w:ind w:left="720"/>
        <w:rPr>
          <w:rFonts w:ascii="Calibri" w:hAnsi="Calibri" w:cs="Calibri"/>
          <w:sz w:val="24"/>
          <w:szCs w:val="24"/>
        </w:rPr>
      </w:pPr>
      <w:r>
        <w:rPr>
          <w:rFonts w:ascii="Calibri" w:hAnsi="Calibri" w:cs="Calibri"/>
          <w:sz w:val="24"/>
          <w:szCs w:val="24"/>
        </w:rPr>
        <w:t>3.2</w:t>
      </w:r>
      <w:proofErr w:type="gramStart"/>
      <w:r>
        <w:rPr>
          <w:rFonts w:ascii="Calibri" w:hAnsi="Calibri" w:cs="Calibri"/>
          <w:sz w:val="24"/>
          <w:szCs w:val="24"/>
        </w:rPr>
        <w:t>.d</w:t>
      </w:r>
      <w:proofErr w:type="gramEnd"/>
      <w:r>
        <w:rPr>
          <w:rFonts w:ascii="Calibri" w:hAnsi="Calibri" w:cs="Calibri"/>
          <w:sz w:val="24"/>
          <w:szCs w:val="24"/>
        </w:rPr>
        <w:t xml:space="preserve"> [Deleted]</w:t>
      </w:r>
    </w:p>
    <w:p w:rsidR="00B403E8" w:rsidRDefault="00B403E8" w:rsidP="00B403E8">
      <w:pPr>
        <w:spacing w:after="0" w:line="240" w:lineRule="auto"/>
        <w:ind w:left="720"/>
        <w:rPr>
          <w:rFonts w:ascii="Calibri" w:hAnsi="Calibri" w:cs="Calibri"/>
          <w:sz w:val="24"/>
          <w:szCs w:val="24"/>
        </w:rPr>
      </w:pPr>
      <w:r>
        <w:rPr>
          <w:rFonts w:ascii="Calibri" w:hAnsi="Calibri" w:cs="Calibri"/>
          <w:sz w:val="24"/>
          <w:szCs w:val="24"/>
        </w:rPr>
        <w:t>3.2</w:t>
      </w:r>
      <w:proofErr w:type="gramStart"/>
      <w:r>
        <w:rPr>
          <w:rFonts w:ascii="Calibri" w:hAnsi="Calibri" w:cs="Calibri"/>
          <w:sz w:val="24"/>
          <w:szCs w:val="24"/>
        </w:rPr>
        <w:t>.e</w:t>
      </w:r>
      <w:proofErr w:type="gramEnd"/>
      <w:r>
        <w:rPr>
          <w:rFonts w:ascii="Calibri" w:hAnsi="Calibri" w:cs="Calibri"/>
          <w:sz w:val="24"/>
          <w:szCs w:val="24"/>
        </w:rPr>
        <w:t xml:space="preserve"> </w:t>
      </w:r>
      <w:r w:rsidR="007D7377">
        <w:rPr>
          <w:rFonts w:ascii="Calibri" w:hAnsi="Calibri" w:cs="Calibri"/>
          <w:sz w:val="24"/>
          <w:szCs w:val="24"/>
        </w:rPr>
        <w:t>Workforce skill gap</w:t>
      </w:r>
    </w:p>
    <w:p w:rsidR="007D7377" w:rsidRDefault="007D7377" w:rsidP="007D7377">
      <w:pPr>
        <w:pStyle w:val="ListParagraph"/>
        <w:numPr>
          <w:ilvl w:val="1"/>
          <w:numId w:val="3"/>
        </w:numPr>
        <w:spacing w:after="0" w:line="240" w:lineRule="auto"/>
        <w:rPr>
          <w:rFonts w:ascii="Calibri" w:hAnsi="Calibri" w:cs="Calibri"/>
          <w:sz w:val="24"/>
          <w:szCs w:val="24"/>
        </w:rPr>
      </w:pPr>
      <w:r>
        <w:rPr>
          <w:rFonts w:ascii="Calibri" w:hAnsi="Calibri" w:cs="Calibri"/>
          <w:sz w:val="24"/>
          <w:szCs w:val="24"/>
        </w:rPr>
        <w:t>Training participant employment</w:t>
      </w:r>
      <w:r w:rsidR="001A259E">
        <w:rPr>
          <w:rFonts w:ascii="Calibri" w:hAnsi="Calibri" w:cs="Calibri"/>
          <w:sz w:val="24"/>
          <w:szCs w:val="24"/>
        </w:rPr>
        <w:t xml:space="preserve"> (WTECB)</w:t>
      </w:r>
    </w:p>
    <w:p w:rsidR="007D7377" w:rsidRDefault="007D7377" w:rsidP="007D7377">
      <w:pPr>
        <w:spacing w:after="0" w:line="240" w:lineRule="auto"/>
        <w:ind w:left="720"/>
        <w:rPr>
          <w:rFonts w:ascii="Calibri" w:hAnsi="Calibri" w:cs="Calibri"/>
          <w:sz w:val="24"/>
          <w:szCs w:val="24"/>
        </w:rPr>
      </w:pPr>
      <w:r>
        <w:rPr>
          <w:rFonts w:ascii="Calibri" w:hAnsi="Calibri" w:cs="Calibri"/>
          <w:sz w:val="24"/>
          <w:szCs w:val="24"/>
        </w:rPr>
        <w:t>3.3</w:t>
      </w:r>
      <w:proofErr w:type="gramStart"/>
      <w:r>
        <w:rPr>
          <w:rFonts w:ascii="Calibri" w:hAnsi="Calibri" w:cs="Calibri"/>
          <w:sz w:val="24"/>
          <w:szCs w:val="24"/>
        </w:rPr>
        <w:t>.a</w:t>
      </w:r>
      <w:proofErr w:type="gramEnd"/>
      <w:r>
        <w:rPr>
          <w:rFonts w:ascii="Calibri" w:hAnsi="Calibri" w:cs="Calibri"/>
          <w:sz w:val="24"/>
          <w:szCs w:val="24"/>
        </w:rPr>
        <w:t xml:space="preserve"> Relatedness of training to employment</w:t>
      </w:r>
    </w:p>
    <w:p w:rsidR="007D7377" w:rsidRPr="00DD2007" w:rsidRDefault="007D7377" w:rsidP="007D7377">
      <w:pPr>
        <w:spacing w:after="0" w:line="240" w:lineRule="auto"/>
        <w:ind w:left="720"/>
        <w:rPr>
          <w:rFonts w:ascii="Calibri" w:hAnsi="Calibri" w:cs="Calibri"/>
          <w:sz w:val="24"/>
          <w:szCs w:val="24"/>
        </w:rPr>
      </w:pPr>
      <w:r>
        <w:rPr>
          <w:rFonts w:ascii="Calibri" w:hAnsi="Calibri" w:cs="Calibri"/>
          <w:sz w:val="24"/>
          <w:szCs w:val="24"/>
        </w:rPr>
        <w:t>3.3</w:t>
      </w:r>
      <w:proofErr w:type="gramStart"/>
      <w:r>
        <w:rPr>
          <w:rFonts w:ascii="Calibri" w:hAnsi="Calibri" w:cs="Calibri"/>
          <w:sz w:val="24"/>
          <w:szCs w:val="24"/>
        </w:rPr>
        <w:t>.b</w:t>
      </w:r>
      <w:proofErr w:type="gramEnd"/>
      <w:r>
        <w:rPr>
          <w:rFonts w:ascii="Calibri" w:hAnsi="Calibri" w:cs="Calibri"/>
          <w:sz w:val="24"/>
          <w:szCs w:val="24"/>
        </w:rPr>
        <w:t xml:space="preserve"> Training participant earnings</w:t>
      </w:r>
    </w:p>
    <w:p w:rsidR="00E02FAA" w:rsidRPr="00E02FAA" w:rsidRDefault="00E02FAA" w:rsidP="00B403E8">
      <w:pPr>
        <w:spacing w:after="0" w:line="240" w:lineRule="auto"/>
        <w:ind w:left="720"/>
        <w:rPr>
          <w:rFonts w:ascii="Calibri" w:hAnsi="Calibri" w:cs="Calibri"/>
          <w:sz w:val="24"/>
          <w:szCs w:val="24"/>
        </w:rPr>
      </w:pPr>
    </w:p>
    <w:p w:rsidR="00E02FAA" w:rsidRPr="00E02FAA" w:rsidRDefault="00E02FAA" w:rsidP="00D86FB6">
      <w:pPr>
        <w:spacing w:line="240" w:lineRule="auto"/>
        <w:rPr>
          <w:rFonts w:ascii="Calibri" w:hAnsi="Calibri" w:cs="Calibri"/>
          <w:sz w:val="24"/>
          <w:szCs w:val="24"/>
        </w:rPr>
      </w:pPr>
    </w:p>
    <w:p w:rsidR="002E3289" w:rsidRPr="00D86FB6" w:rsidRDefault="002E3289" w:rsidP="00D86FB6">
      <w:pPr>
        <w:spacing w:line="240" w:lineRule="auto"/>
        <w:rPr>
          <w:rFonts w:ascii="Calibri" w:hAnsi="Calibri" w:cs="Calibri"/>
          <w:b/>
          <w:sz w:val="24"/>
          <w:szCs w:val="24"/>
        </w:rPr>
      </w:pPr>
      <w:r w:rsidRPr="00D86FB6">
        <w:rPr>
          <w:rFonts w:ascii="Calibri" w:hAnsi="Calibri" w:cs="Calibri"/>
          <w:b/>
          <w:sz w:val="24"/>
          <w:szCs w:val="24"/>
        </w:rPr>
        <w:t>Impact/Implications for Washington Community &amp; Technical Colleges:</w:t>
      </w:r>
    </w:p>
    <w:p w:rsidR="001A259E" w:rsidRDefault="007D7377" w:rsidP="002E3289">
      <w:pPr>
        <w:spacing w:line="240" w:lineRule="auto"/>
        <w:rPr>
          <w:rFonts w:ascii="Calibri" w:hAnsi="Calibri" w:cs="Calibri"/>
          <w:sz w:val="24"/>
          <w:szCs w:val="24"/>
        </w:rPr>
      </w:pPr>
      <w:r>
        <w:rPr>
          <w:rFonts w:ascii="Calibri" w:hAnsi="Calibri" w:cs="Calibri"/>
          <w:sz w:val="24"/>
          <w:szCs w:val="24"/>
        </w:rPr>
        <w:t>The above measures is what the Governor and her senior staff are looking at as they assess the effectiveness of the policies and programs of the Department of Early Learning, Student Achievement Council, Workforce Training and Education Coor</w:t>
      </w:r>
      <w:bookmarkStart w:id="0" w:name="_GoBack"/>
      <w:bookmarkEnd w:id="0"/>
      <w:r>
        <w:rPr>
          <w:rFonts w:ascii="Calibri" w:hAnsi="Calibri" w:cs="Calibri"/>
          <w:sz w:val="24"/>
          <w:szCs w:val="24"/>
        </w:rPr>
        <w:t>dinating Board</w:t>
      </w:r>
      <w:r w:rsidR="001A259E">
        <w:rPr>
          <w:rFonts w:ascii="Calibri" w:hAnsi="Calibri" w:cs="Calibri"/>
          <w:sz w:val="24"/>
          <w:szCs w:val="24"/>
        </w:rPr>
        <w:t>, Department of Social and Health Services,</w:t>
      </w:r>
      <w:r>
        <w:rPr>
          <w:rFonts w:ascii="Calibri" w:hAnsi="Calibri" w:cs="Calibri"/>
          <w:sz w:val="24"/>
          <w:szCs w:val="24"/>
        </w:rPr>
        <w:t xml:space="preserve"> and the State Board for Community and Technical Colleges (SBCTC).  The Office of the Superintendent of Public Instruction does not currently participate in GMAP.  </w:t>
      </w:r>
    </w:p>
    <w:p w:rsidR="002E3289" w:rsidRPr="00D86FB6" w:rsidRDefault="007D7377" w:rsidP="002E3289">
      <w:pPr>
        <w:spacing w:line="240" w:lineRule="auto"/>
        <w:rPr>
          <w:rFonts w:ascii="Calibri" w:hAnsi="Calibri" w:cs="Calibri"/>
          <w:sz w:val="24"/>
          <w:szCs w:val="24"/>
        </w:rPr>
      </w:pPr>
      <w:r>
        <w:rPr>
          <w:rFonts w:ascii="Calibri" w:hAnsi="Calibri" w:cs="Calibri"/>
          <w:sz w:val="24"/>
          <w:szCs w:val="24"/>
        </w:rPr>
        <w:t>Most, but not all, of the measures reported by the SBCTC for the education dashboard mimic the Student Achievement Measures</w:t>
      </w:r>
      <w:r w:rsidR="001A259E">
        <w:rPr>
          <w:rFonts w:ascii="Calibri" w:hAnsi="Calibri" w:cs="Calibri"/>
          <w:sz w:val="24"/>
          <w:szCs w:val="24"/>
        </w:rPr>
        <w:t xml:space="preserve"> (measure 2.2)</w:t>
      </w:r>
      <w:r>
        <w:rPr>
          <w:rFonts w:ascii="Calibri" w:hAnsi="Calibri" w:cs="Calibri"/>
          <w:sz w:val="24"/>
          <w:szCs w:val="24"/>
        </w:rPr>
        <w:t>.  At any time, the Governor or the GMAP staff can request that new measures be added to the GMAP education dashboard, or existing measures be dropped. Finally, it is important to underscore that all GMAP meetings are open to the public and televised on TVW, and all GMAP dashboards are displayed on the GMAP website.</w:t>
      </w:r>
    </w:p>
    <w:p w:rsidR="002E3289" w:rsidRPr="002E3289" w:rsidRDefault="002E3289" w:rsidP="002E3289">
      <w:pPr>
        <w:spacing w:line="240" w:lineRule="auto"/>
      </w:pPr>
    </w:p>
    <w:sectPr w:rsidR="002E3289" w:rsidRPr="002E3289" w:rsidSect="00EF45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E8" w:rsidRDefault="00B403E8" w:rsidP="00E41221">
      <w:pPr>
        <w:spacing w:after="0" w:line="240" w:lineRule="auto"/>
      </w:pPr>
      <w:r>
        <w:separator/>
      </w:r>
    </w:p>
  </w:endnote>
  <w:endnote w:type="continuationSeparator" w:id="0">
    <w:p w:rsidR="00B403E8" w:rsidRDefault="00B403E8" w:rsidP="00E41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E8" w:rsidRPr="00D86FB6" w:rsidRDefault="00B403E8" w:rsidP="00E41221">
    <w:pPr>
      <w:pStyle w:val="Footer"/>
      <w:jc w:val="center"/>
      <w:rPr>
        <w:sz w:val="24"/>
        <w:szCs w:val="24"/>
      </w:rPr>
    </w:pPr>
    <w:r w:rsidRPr="00D86FB6">
      <w:rPr>
        <w:sz w:val="24"/>
        <w:szCs w:val="24"/>
      </w:rPr>
      <w:t>Community College Learning Assessment –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E8" w:rsidRDefault="00B403E8" w:rsidP="00E41221">
      <w:pPr>
        <w:spacing w:after="0" w:line="240" w:lineRule="auto"/>
      </w:pPr>
      <w:r>
        <w:separator/>
      </w:r>
    </w:p>
  </w:footnote>
  <w:footnote w:type="continuationSeparator" w:id="0">
    <w:p w:rsidR="00B403E8" w:rsidRDefault="00B403E8" w:rsidP="00E41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3E8" w:rsidRPr="00D86FB6" w:rsidRDefault="00B403E8" w:rsidP="00E41221">
    <w:pPr>
      <w:pStyle w:val="Header"/>
      <w:jc w:val="center"/>
      <w:rPr>
        <w:sz w:val="24"/>
        <w:szCs w:val="24"/>
      </w:rPr>
    </w:pPr>
    <w:r w:rsidRPr="00D86FB6">
      <w:rPr>
        <w:sz w:val="24"/>
        <w:szCs w:val="24"/>
      </w:rPr>
      <w:t>Research and Planning Commission</w:t>
    </w:r>
  </w:p>
  <w:p w:rsidR="00B403E8" w:rsidRPr="00D86FB6" w:rsidRDefault="00B403E8" w:rsidP="00E41221">
    <w:pPr>
      <w:pStyle w:val="Header"/>
      <w:jc w:val="center"/>
      <w:rPr>
        <w:sz w:val="24"/>
        <w:szCs w:val="24"/>
      </w:rPr>
    </w:pPr>
    <w:r w:rsidRPr="00D86FB6">
      <w:rPr>
        <w:sz w:val="24"/>
        <w:szCs w:val="24"/>
      </w:rPr>
      <w:t>Accountability and Quality Measures</w:t>
    </w:r>
  </w:p>
  <w:p w:rsidR="00B403E8" w:rsidRDefault="00B40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51E70"/>
    <w:multiLevelType w:val="multilevel"/>
    <w:tmpl w:val="62CA4A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b."/>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95807A4"/>
    <w:multiLevelType w:val="multilevel"/>
    <w:tmpl w:val="615C5A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B2E42A8"/>
    <w:multiLevelType w:val="hybridMultilevel"/>
    <w:tmpl w:val="EB74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96740"/>
    <w:multiLevelType w:val="hybridMultilevel"/>
    <w:tmpl w:val="A66C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206650"/>
    <w:multiLevelType w:val="multilevel"/>
    <w:tmpl w:val="023882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a."/>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1221"/>
    <w:rsid w:val="000214B2"/>
    <w:rsid w:val="0011421A"/>
    <w:rsid w:val="001A259E"/>
    <w:rsid w:val="002E3289"/>
    <w:rsid w:val="003E1734"/>
    <w:rsid w:val="00580CCC"/>
    <w:rsid w:val="007853A4"/>
    <w:rsid w:val="007D7377"/>
    <w:rsid w:val="00853EB2"/>
    <w:rsid w:val="008E0A43"/>
    <w:rsid w:val="009726B2"/>
    <w:rsid w:val="00B403E8"/>
    <w:rsid w:val="00D769DC"/>
    <w:rsid w:val="00D86FB6"/>
    <w:rsid w:val="00DA4EF3"/>
    <w:rsid w:val="00DD2007"/>
    <w:rsid w:val="00E02FAA"/>
    <w:rsid w:val="00E41221"/>
    <w:rsid w:val="00EF4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D76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1221"/>
    <w:pPr>
      <w:spacing w:before="100" w:beforeAutospacing="1" w:after="100" w:afterAutospacing="1" w:line="240" w:lineRule="auto"/>
    </w:pPr>
    <w:rPr>
      <w:rFonts w:ascii="Times New Roman" w:eastAsia="Times New Roman" w:hAnsi="Times New Roman" w:cs="Times New Roman"/>
    </w:rPr>
  </w:style>
  <w:style w:type="character" w:customStyle="1" w:styleId="content1">
    <w:name w:val="content1"/>
    <w:basedOn w:val="DefaultParagraphFont"/>
    <w:rsid w:val="00E41221"/>
    <w:rPr>
      <w:rFonts w:ascii="Verdana" w:hAnsi="Verdana" w:hint="default"/>
      <w:color w:val="333333"/>
      <w:sz w:val="18"/>
      <w:szCs w:val="18"/>
    </w:rPr>
  </w:style>
  <w:style w:type="paragraph" w:styleId="Header">
    <w:name w:val="header"/>
    <w:basedOn w:val="Normal"/>
    <w:link w:val="HeaderChar"/>
    <w:uiPriority w:val="99"/>
    <w:unhideWhenUsed/>
    <w:rsid w:val="00E41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221"/>
  </w:style>
  <w:style w:type="paragraph" w:styleId="Footer">
    <w:name w:val="footer"/>
    <w:basedOn w:val="Normal"/>
    <w:link w:val="FooterChar"/>
    <w:uiPriority w:val="99"/>
    <w:unhideWhenUsed/>
    <w:rsid w:val="00E41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221"/>
  </w:style>
  <w:style w:type="paragraph" w:styleId="BalloonText">
    <w:name w:val="Balloon Text"/>
    <w:basedOn w:val="Normal"/>
    <w:link w:val="BalloonTextChar"/>
    <w:uiPriority w:val="99"/>
    <w:semiHidden/>
    <w:unhideWhenUsed/>
    <w:rsid w:val="00E41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221"/>
    <w:rPr>
      <w:rFonts w:ascii="Tahoma" w:hAnsi="Tahoma" w:cs="Tahoma"/>
      <w:sz w:val="16"/>
      <w:szCs w:val="16"/>
    </w:rPr>
  </w:style>
  <w:style w:type="character" w:styleId="Hyperlink">
    <w:name w:val="Hyperlink"/>
    <w:basedOn w:val="DefaultParagraphFont"/>
    <w:uiPriority w:val="99"/>
    <w:unhideWhenUsed/>
    <w:rsid w:val="002E3289"/>
    <w:rPr>
      <w:color w:val="0000FF" w:themeColor="hyperlink"/>
      <w:u w:val="single"/>
    </w:rPr>
  </w:style>
  <w:style w:type="paragraph" w:styleId="ListParagraph">
    <w:name w:val="List Paragraph"/>
    <w:basedOn w:val="Normal"/>
    <w:uiPriority w:val="34"/>
    <w:qFormat/>
    <w:rsid w:val="00D769D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formance.wa.gov/Education/Pages/default.aspx"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accountability.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Faculty/Staff</dc:creator>
  <cp:lastModifiedBy>Dr. M Pettitt</cp:lastModifiedBy>
  <cp:revision>2</cp:revision>
  <dcterms:created xsi:type="dcterms:W3CDTF">2012-11-14T16:35:00Z</dcterms:created>
  <dcterms:modified xsi:type="dcterms:W3CDTF">2012-11-14T16:35:00Z</dcterms:modified>
</cp:coreProperties>
</file>