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0A" w:rsidRDefault="003B410A" w:rsidP="003B410A">
      <w:pPr>
        <w:jc w:val="center"/>
        <w:rPr>
          <w:b/>
          <w:sz w:val="24"/>
          <w:szCs w:val="24"/>
        </w:rPr>
      </w:pPr>
      <w:r>
        <w:rPr>
          <w:b/>
          <w:sz w:val="24"/>
          <w:szCs w:val="24"/>
        </w:rPr>
        <w:t>Research and Planning Commission</w:t>
      </w:r>
    </w:p>
    <w:p w:rsidR="003B410A" w:rsidRDefault="003B410A" w:rsidP="00F057D7">
      <w:pPr>
        <w:jc w:val="center"/>
        <w:rPr>
          <w:b/>
          <w:sz w:val="24"/>
          <w:szCs w:val="24"/>
        </w:rPr>
      </w:pPr>
      <w:r w:rsidRPr="003B410A">
        <w:rPr>
          <w:b/>
          <w:sz w:val="24"/>
          <w:szCs w:val="24"/>
        </w:rPr>
        <w:t xml:space="preserve">Accountability and Quality Measures </w:t>
      </w:r>
    </w:p>
    <w:p w:rsidR="00F057D7" w:rsidRDefault="00F057D7" w:rsidP="00F057D7">
      <w:pPr>
        <w:spacing w:line="288" w:lineRule="auto"/>
        <w:rPr>
          <w:b/>
          <w:sz w:val="24"/>
          <w:szCs w:val="24"/>
        </w:rPr>
      </w:pPr>
    </w:p>
    <w:p w:rsidR="00F057D7" w:rsidRDefault="003B410A" w:rsidP="00F057D7">
      <w:pPr>
        <w:spacing w:line="288" w:lineRule="auto"/>
        <w:rPr>
          <w:b/>
          <w:sz w:val="24"/>
          <w:szCs w:val="24"/>
        </w:rPr>
      </w:pPr>
      <w:r>
        <w:rPr>
          <w:b/>
          <w:sz w:val="24"/>
          <w:szCs w:val="24"/>
        </w:rPr>
        <w:t>Name of Accountability/Quality Program:</w:t>
      </w:r>
    </w:p>
    <w:p w:rsidR="00975D3E" w:rsidRDefault="004A6CBB" w:rsidP="00F057D7">
      <w:pPr>
        <w:spacing w:line="288" w:lineRule="auto"/>
        <w:rPr>
          <w:sz w:val="24"/>
          <w:szCs w:val="24"/>
        </w:rPr>
      </w:pPr>
      <w:r>
        <w:rPr>
          <w:sz w:val="24"/>
          <w:szCs w:val="24"/>
        </w:rPr>
        <w:t>Voluntary Framework for Accountability</w:t>
      </w:r>
    </w:p>
    <w:p w:rsidR="004A6CBB" w:rsidRDefault="004A6CBB" w:rsidP="00F057D7">
      <w:pPr>
        <w:spacing w:line="288" w:lineRule="auto"/>
        <w:rPr>
          <w:b/>
          <w:sz w:val="24"/>
          <w:szCs w:val="24"/>
        </w:rPr>
      </w:pPr>
    </w:p>
    <w:p w:rsidR="00493DE2" w:rsidRDefault="00493DE2" w:rsidP="00F057D7">
      <w:pPr>
        <w:spacing w:line="288" w:lineRule="auto"/>
        <w:rPr>
          <w:b/>
          <w:sz w:val="24"/>
          <w:szCs w:val="24"/>
        </w:rPr>
      </w:pPr>
      <w:r>
        <w:rPr>
          <w:b/>
          <w:sz w:val="24"/>
          <w:szCs w:val="24"/>
        </w:rPr>
        <w:t>Authors/Sponsors/Funders, etc.:</w:t>
      </w:r>
    </w:p>
    <w:p w:rsidR="00D5195B" w:rsidRPr="00D5195B" w:rsidRDefault="004A6CBB" w:rsidP="00F057D7">
      <w:pPr>
        <w:spacing w:line="288" w:lineRule="auto"/>
        <w:rPr>
          <w:sz w:val="24"/>
          <w:szCs w:val="24"/>
        </w:rPr>
      </w:pPr>
      <w:r>
        <w:rPr>
          <w:sz w:val="24"/>
          <w:szCs w:val="24"/>
        </w:rPr>
        <w:t xml:space="preserve">American Association of Community Colleges </w:t>
      </w:r>
      <w:r w:rsidR="00202BCC">
        <w:rPr>
          <w:sz w:val="24"/>
          <w:szCs w:val="24"/>
        </w:rPr>
        <w:t xml:space="preserve">(AACC) </w:t>
      </w:r>
      <w:r>
        <w:rPr>
          <w:sz w:val="24"/>
          <w:szCs w:val="24"/>
        </w:rPr>
        <w:t xml:space="preserve">with funding from the </w:t>
      </w:r>
      <w:r w:rsidR="00D5195B" w:rsidRPr="00D5195B">
        <w:rPr>
          <w:sz w:val="24"/>
          <w:szCs w:val="24"/>
        </w:rPr>
        <w:t xml:space="preserve">Lumina Foundation for Education </w:t>
      </w:r>
      <w:r>
        <w:rPr>
          <w:sz w:val="24"/>
          <w:szCs w:val="24"/>
        </w:rPr>
        <w:t>and the Bill and Melinda Gates Foundation.</w:t>
      </w:r>
    </w:p>
    <w:p w:rsidR="00F057D7" w:rsidRDefault="00F057D7" w:rsidP="00F057D7">
      <w:pPr>
        <w:spacing w:line="288" w:lineRule="auto"/>
        <w:rPr>
          <w:b/>
          <w:sz w:val="24"/>
          <w:szCs w:val="24"/>
        </w:rPr>
      </w:pPr>
    </w:p>
    <w:p w:rsidR="00493DE2" w:rsidRDefault="003B410A" w:rsidP="00F057D7">
      <w:pPr>
        <w:spacing w:line="288" w:lineRule="auto"/>
        <w:rPr>
          <w:b/>
          <w:sz w:val="24"/>
          <w:szCs w:val="24"/>
        </w:rPr>
      </w:pPr>
      <w:r>
        <w:rPr>
          <w:b/>
          <w:sz w:val="24"/>
          <w:szCs w:val="24"/>
        </w:rPr>
        <w:t>URL:</w:t>
      </w:r>
    </w:p>
    <w:p w:rsidR="005B1333" w:rsidRPr="004A6CBB" w:rsidRDefault="004A6CBB" w:rsidP="005B1333">
      <w:pPr>
        <w:spacing w:line="288" w:lineRule="auto"/>
        <w:rPr>
          <w:sz w:val="24"/>
          <w:szCs w:val="24"/>
        </w:rPr>
      </w:pPr>
      <w:hyperlink r:id="rId7" w:history="1">
        <w:r w:rsidRPr="004A6CBB">
          <w:rPr>
            <w:rStyle w:val="Hyperlink"/>
            <w:sz w:val="24"/>
            <w:szCs w:val="24"/>
          </w:rPr>
          <w:t>http://www.aacc.nche.edu/Resources/aaccprograms/VFAWeb/default.aspx</w:t>
        </w:r>
      </w:hyperlink>
    </w:p>
    <w:p w:rsidR="004A6CBB" w:rsidRDefault="004A6CBB" w:rsidP="005B1333">
      <w:pPr>
        <w:spacing w:line="288" w:lineRule="auto"/>
        <w:rPr>
          <w:b/>
          <w:sz w:val="24"/>
          <w:szCs w:val="24"/>
        </w:rPr>
      </w:pPr>
    </w:p>
    <w:p w:rsidR="004A6CBB" w:rsidRPr="004A6CBB" w:rsidRDefault="003B410A" w:rsidP="004A6CBB">
      <w:pPr>
        <w:spacing w:line="288" w:lineRule="auto"/>
        <w:rPr>
          <w:b/>
          <w:sz w:val="24"/>
          <w:szCs w:val="24"/>
        </w:rPr>
      </w:pPr>
      <w:r w:rsidRPr="004A6CBB">
        <w:rPr>
          <w:b/>
          <w:sz w:val="24"/>
          <w:szCs w:val="24"/>
        </w:rPr>
        <w:t>Overview:</w:t>
      </w:r>
    </w:p>
    <w:p w:rsidR="004A6CBB" w:rsidRPr="004A6CBB" w:rsidRDefault="004A6CBB" w:rsidP="004A6CBB">
      <w:pPr>
        <w:spacing w:line="288" w:lineRule="auto"/>
        <w:rPr>
          <w:b/>
          <w:sz w:val="24"/>
          <w:szCs w:val="24"/>
        </w:rPr>
      </w:pPr>
      <w:r w:rsidRPr="004A6CBB">
        <w:rPr>
          <w:sz w:val="24"/>
          <w:szCs w:val="24"/>
        </w:rPr>
        <w:t>According to the website</w:t>
      </w:r>
      <w:r w:rsidRPr="004A6CBB">
        <w:rPr>
          <w:b/>
          <w:sz w:val="24"/>
          <w:szCs w:val="24"/>
        </w:rPr>
        <w:t xml:space="preserve">, </w:t>
      </w:r>
      <w:r w:rsidRPr="004A6CBB">
        <w:rPr>
          <w:rFonts w:cs="Tahoma"/>
          <w:sz w:val="24"/>
          <w:szCs w:val="24"/>
        </w:rPr>
        <w:t>the Voluntary Framework of Accountability (VFA) is the first comprehensive national accountability system created by community colleges, for community colleges.</w:t>
      </w:r>
    </w:p>
    <w:p w:rsidR="004A6CBB" w:rsidRPr="004A6CBB" w:rsidRDefault="004A6CBB" w:rsidP="004A6CBB">
      <w:pPr>
        <w:spacing w:line="288" w:lineRule="auto"/>
        <w:rPr>
          <w:rFonts w:eastAsia="Times New Roman" w:cs="Tahoma"/>
          <w:sz w:val="24"/>
          <w:szCs w:val="24"/>
        </w:rPr>
      </w:pPr>
    </w:p>
    <w:p w:rsidR="004A6CBB" w:rsidRPr="004A6CBB" w:rsidRDefault="00202BCC" w:rsidP="004A6CBB">
      <w:pPr>
        <w:spacing w:line="288" w:lineRule="auto"/>
        <w:rPr>
          <w:rFonts w:eastAsia="Times New Roman" w:cs="Tahoma"/>
          <w:sz w:val="24"/>
          <w:szCs w:val="24"/>
        </w:rPr>
      </w:pPr>
      <w:r>
        <w:rPr>
          <w:rFonts w:eastAsia="Times New Roman" w:cs="Tahoma"/>
          <w:sz w:val="24"/>
          <w:szCs w:val="24"/>
        </w:rPr>
        <w:t>Facilitated by AACC, c</w:t>
      </w:r>
      <w:r w:rsidR="004A6CBB" w:rsidRPr="004A6CBB">
        <w:rPr>
          <w:rFonts w:eastAsia="Times New Roman" w:cs="Tahoma"/>
          <w:sz w:val="24"/>
          <w:szCs w:val="24"/>
        </w:rPr>
        <w:t>ommunity c</w:t>
      </w:r>
      <w:r>
        <w:rPr>
          <w:rFonts w:eastAsia="Times New Roman" w:cs="Tahoma"/>
          <w:sz w:val="24"/>
          <w:szCs w:val="24"/>
        </w:rPr>
        <w:t xml:space="preserve">ollege leaders </w:t>
      </w:r>
      <w:r w:rsidR="004A6CBB" w:rsidRPr="004A6CBB">
        <w:rPr>
          <w:rFonts w:eastAsia="Times New Roman" w:cs="Tahoma"/>
          <w:sz w:val="24"/>
          <w:szCs w:val="24"/>
        </w:rPr>
        <w:t>conceived, developed and pilot-tested the first set of VFA m</w:t>
      </w:r>
      <w:r>
        <w:rPr>
          <w:rFonts w:eastAsia="Times New Roman" w:cs="Tahoma"/>
          <w:sz w:val="24"/>
          <w:szCs w:val="24"/>
        </w:rPr>
        <w:t>etrics, which gauge how well</w:t>
      </w:r>
      <w:r w:rsidR="004A6CBB" w:rsidRPr="004A6CBB">
        <w:rPr>
          <w:rFonts w:eastAsia="Times New Roman" w:cs="Tahoma"/>
          <w:sz w:val="24"/>
          <w:szCs w:val="24"/>
        </w:rPr>
        <w:t xml:space="preserve"> institutions perform in serving a variety of students and purposes.</w:t>
      </w:r>
    </w:p>
    <w:p w:rsidR="004A6CBB" w:rsidRPr="004A6CBB" w:rsidRDefault="004A6CBB" w:rsidP="004A6CBB">
      <w:pPr>
        <w:spacing w:line="288" w:lineRule="auto"/>
        <w:rPr>
          <w:rFonts w:eastAsia="Times New Roman" w:cs="Tahoma"/>
          <w:sz w:val="24"/>
          <w:szCs w:val="24"/>
        </w:rPr>
      </w:pPr>
    </w:p>
    <w:p w:rsidR="004A6CBB" w:rsidRPr="004A6CBB" w:rsidRDefault="004A6CBB" w:rsidP="004A6CBB">
      <w:pPr>
        <w:spacing w:line="288" w:lineRule="auto"/>
        <w:rPr>
          <w:rFonts w:eastAsia="Times New Roman" w:cs="Tahoma"/>
          <w:sz w:val="24"/>
          <w:szCs w:val="24"/>
        </w:rPr>
      </w:pPr>
      <w:r w:rsidRPr="004A6CBB">
        <w:rPr>
          <w:rFonts w:eastAsia="Times New Roman" w:cs="Tahoma"/>
          <w:sz w:val="24"/>
          <w:szCs w:val="24"/>
        </w:rPr>
        <w:t xml:space="preserve">The VFA has three parts: </w:t>
      </w:r>
    </w:p>
    <w:p w:rsidR="004A6CBB" w:rsidRPr="004A6CBB" w:rsidRDefault="004A6CBB" w:rsidP="004A6CBB">
      <w:pPr>
        <w:spacing w:line="288" w:lineRule="auto"/>
        <w:ind w:left="1080" w:hanging="360"/>
        <w:rPr>
          <w:rFonts w:eastAsia="Times New Roman" w:cs="Tahoma"/>
          <w:sz w:val="24"/>
          <w:szCs w:val="24"/>
        </w:rPr>
      </w:pPr>
      <w:r w:rsidRPr="004A6CBB">
        <w:rPr>
          <w:rFonts w:eastAsia="Times New Roman" w:cs="Tahoma"/>
          <w:sz w:val="24"/>
          <w:szCs w:val="24"/>
        </w:rPr>
        <w:t>1.</w:t>
      </w:r>
      <w:r w:rsidRPr="004A6CBB">
        <w:rPr>
          <w:rFonts w:eastAsia="Times New Roman" w:cs="Times New Roman"/>
          <w:sz w:val="24"/>
          <w:szCs w:val="24"/>
        </w:rPr>
        <w:t xml:space="preserve"> </w:t>
      </w:r>
      <w:proofErr w:type="gramStart"/>
      <w:r w:rsidRPr="004A6CBB">
        <w:rPr>
          <w:rFonts w:eastAsia="Times New Roman" w:cs="Tahoma"/>
          <w:sz w:val="24"/>
          <w:szCs w:val="24"/>
        </w:rPr>
        <w:t>measures</w:t>
      </w:r>
      <w:proofErr w:type="gramEnd"/>
      <w:r w:rsidRPr="004A6CBB">
        <w:rPr>
          <w:rFonts w:eastAsia="Times New Roman" w:cs="Tahoma"/>
          <w:sz w:val="24"/>
          <w:szCs w:val="24"/>
        </w:rPr>
        <w:t xml:space="preserve"> of student progress and outcomes; </w:t>
      </w:r>
    </w:p>
    <w:p w:rsidR="004A6CBB" w:rsidRPr="004A6CBB" w:rsidRDefault="004A6CBB" w:rsidP="004A6CBB">
      <w:pPr>
        <w:spacing w:line="288" w:lineRule="auto"/>
        <w:ind w:left="1080" w:hanging="360"/>
        <w:rPr>
          <w:rFonts w:eastAsia="Times New Roman" w:cs="Tahoma"/>
          <w:sz w:val="24"/>
          <w:szCs w:val="24"/>
        </w:rPr>
      </w:pPr>
      <w:r w:rsidRPr="004A6CBB">
        <w:rPr>
          <w:rFonts w:eastAsia="Times New Roman" w:cs="Tahoma"/>
          <w:sz w:val="24"/>
          <w:szCs w:val="24"/>
        </w:rPr>
        <w:t>2.</w:t>
      </w:r>
      <w:r w:rsidRPr="004A6CBB">
        <w:rPr>
          <w:rFonts w:eastAsia="Times New Roman" w:cs="Times New Roman"/>
          <w:sz w:val="24"/>
          <w:szCs w:val="24"/>
        </w:rPr>
        <w:t xml:space="preserve"> </w:t>
      </w:r>
      <w:proofErr w:type="gramStart"/>
      <w:r w:rsidRPr="004A6CBB">
        <w:rPr>
          <w:rFonts w:eastAsia="Times New Roman" w:cs="Tahoma"/>
          <w:sz w:val="24"/>
          <w:szCs w:val="24"/>
        </w:rPr>
        <w:t>measures</w:t>
      </w:r>
      <w:proofErr w:type="gramEnd"/>
      <w:r w:rsidRPr="004A6CBB">
        <w:rPr>
          <w:rFonts w:eastAsia="Times New Roman" w:cs="Tahoma"/>
          <w:sz w:val="24"/>
          <w:szCs w:val="24"/>
        </w:rPr>
        <w:t xml:space="preserve"> of workforce, economic, and community development; and </w:t>
      </w:r>
    </w:p>
    <w:p w:rsidR="004A6CBB" w:rsidRPr="004A6CBB" w:rsidRDefault="004A6CBB" w:rsidP="004A6CBB">
      <w:pPr>
        <w:spacing w:line="288" w:lineRule="auto"/>
        <w:ind w:left="1080" w:hanging="360"/>
        <w:rPr>
          <w:rFonts w:eastAsia="Times New Roman" w:cs="Tahoma"/>
          <w:sz w:val="24"/>
          <w:szCs w:val="24"/>
        </w:rPr>
      </w:pPr>
      <w:r w:rsidRPr="004A6CBB">
        <w:rPr>
          <w:rFonts w:eastAsia="Times New Roman" w:cs="Tahoma"/>
          <w:sz w:val="24"/>
          <w:szCs w:val="24"/>
        </w:rPr>
        <w:t>3.</w:t>
      </w:r>
      <w:r w:rsidRPr="004A6CBB">
        <w:rPr>
          <w:rFonts w:eastAsia="Times New Roman" w:cs="Times New Roman"/>
          <w:sz w:val="24"/>
          <w:szCs w:val="24"/>
        </w:rPr>
        <w:t xml:space="preserve"> </w:t>
      </w:r>
      <w:proofErr w:type="gramStart"/>
      <w:r w:rsidRPr="004A6CBB">
        <w:rPr>
          <w:rFonts w:eastAsia="Times New Roman" w:cs="Tahoma"/>
          <w:sz w:val="24"/>
          <w:szCs w:val="24"/>
        </w:rPr>
        <w:t>an</w:t>
      </w:r>
      <w:proofErr w:type="gramEnd"/>
      <w:r w:rsidRPr="004A6CBB">
        <w:rPr>
          <w:rFonts w:eastAsia="Times New Roman" w:cs="Tahoma"/>
          <w:sz w:val="24"/>
          <w:szCs w:val="24"/>
        </w:rPr>
        <w:t xml:space="preserve"> approach for assessing student learning outcomes. </w:t>
      </w:r>
    </w:p>
    <w:p w:rsidR="004A6CBB" w:rsidRDefault="004A6CBB" w:rsidP="00EE08A0">
      <w:pPr>
        <w:spacing w:line="288" w:lineRule="auto"/>
        <w:rPr>
          <w:b/>
          <w:sz w:val="24"/>
          <w:szCs w:val="24"/>
        </w:rPr>
      </w:pPr>
    </w:p>
    <w:p w:rsidR="004A6CBB" w:rsidRDefault="004A6CBB" w:rsidP="00EE08A0">
      <w:pPr>
        <w:spacing w:line="288" w:lineRule="auto"/>
        <w:rPr>
          <w:b/>
          <w:sz w:val="24"/>
          <w:szCs w:val="24"/>
        </w:rPr>
      </w:pPr>
      <w:r>
        <w:rPr>
          <w:b/>
          <w:sz w:val="24"/>
          <w:szCs w:val="24"/>
        </w:rPr>
        <w:t>Specific Measures in Program:</w:t>
      </w:r>
    </w:p>
    <w:p w:rsidR="004A6CBB" w:rsidRPr="00202BCC" w:rsidRDefault="004A6CBB" w:rsidP="00EE08A0">
      <w:pPr>
        <w:spacing w:line="288" w:lineRule="auto"/>
        <w:rPr>
          <w:sz w:val="24"/>
          <w:szCs w:val="24"/>
        </w:rPr>
      </w:pPr>
      <w:r w:rsidRPr="00202BCC">
        <w:rPr>
          <w:sz w:val="24"/>
          <w:szCs w:val="24"/>
        </w:rPr>
        <w:t>The metrics are presented in the attached 6-page brochure.</w:t>
      </w:r>
    </w:p>
    <w:p w:rsidR="004A6CBB" w:rsidRDefault="004A6CBB" w:rsidP="00EE08A0">
      <w:pPr>
        <w:spacing w:line="288" w:lineRule="auto"/>
        <w:rPr>
          <w:b/>
          <w:sz w:val="24"/>
          <w:szCs w:val="24"/>
        </w:rPr>
      </w:pPr>
    </w:p>
    <w:p w:rsidR="00975D3E" w:rsidRPr="005B1333" w:rsidRDefault="00493DE2" w:rsidP="00EE08A0">
      <w:pPr>
        <w:spacing w:line="288" w:lineRule="auto"/>
        <w:rPr>
          <w:b/>
          <w:sz w:val="24"/>
          <w:szCs w:val="24"/>
        </w:rPr>
      </w:pPr>
      <w:r w:rsidRPr="00975D3E">
        <w:rPr>
          <w:b/>
          <w:sz w:val="24"/>
          <w:szCs w:val="24"/>
        </w:rPr>
        <w:t>Impact/Implications for Washington Community &amp; Technical Colleges:</w:t>
      </w:r>
    </w:p>
    <w:p w:rsidR="00EE08A0" w:rsidRPr="00975D3E" w:rsidRDefault="004A6CBB" w:rsidP="00EE08A0">
      <w:pPr>
        <w:spacing w:line="288" w:lineRule="auto"/>
      </w:pPr>
      <w:r>
        <w:t xml:space="preserve">The VFA </w:t>
      </w:r>
      <w:r w:rsidR="00202BCC">
        <w:t xml:space="preserve">was pilot tested in 2011 and in 2012 the AACC is encouraging participation from as many community colleges as possible so that they can beta test the VFA data collection, display, benchmarking, and analytics tool.  </w:t>
      </w:r>
      <w:r>
        <w:t xml:space="preserve">Several </w:t>
      </w:r>
      <w:r w:rsidR="00EE08A0" w:rsidRPr="00975D3E">
        <w:t xml:space="preserve">Washington community colleges </w:t>
      </w:r>
      <w:r>
        <w:t>have been</w:t>
      </w:r>
      <w:r w:rsidR="005B1333">
        <w:t xml:space="preserve"> </w:t>
      </w:r>
      <w:r w:rsidR="00EE08A0" w:rsidRPr="00975D3E">
        <w:t xml:space="preserve">involved with </w:t>
      </w:r>
      <w:r w:rsidR="00975D3E" w:rsidRPr="00975D3E">
        <w:t xml:space="preserve">the </w:t>
      </w:r>
      <w:r w:rsidR="00EE08A0" w:rsidRPr="00975D3E">
        <w:t>development</w:t>
      </w:r>
      <w:r>
        <w:t xml:space="preserve"> and use of </w:t>
      </w:r>
      <w:r w:rsidR="00975D3E" w:rsidRPr="00975D3E">
        <w:t>the</w:t>
      </w:r>
      <w:r>
        <w:t xml:space="preserve"> VFA.  However, there has been no </w:t>
      </w:r>
      <w:r w:rsidR="00975D3E" w:rsidRPr="00975D3E">
        <w:t>discussion at the state level about using this as a measurement tool.</w:t>
      </w:r>
    </w:p>
    <w:sectPr w:rsidR="00EE08A0" w:rsidRPr="00975D3E" w:rsidSect="004A6CB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BB" w:rsidRDefault="004A6CBB" w:rsidP="003B410A">
      <w:pPr>
        <w:spacing w:line="240" w:lineRule="auto"/>
      </w:pPr>
      <w:r>
        <w:separator/>
      </w:r>
    </w:p>
  </w:endnote>
  <w:endnote w:type="continuationSeparator" w:id="0">
    <w:p w:rsidR="004A6CBB" w:rsidRDefault="004A6CBB" w:rsidP="003B41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BB" w:rsidRDefault="004A6CBB" w:rsidP="00F057D7">
    <w:pPr>
      <w:pStyle w:val="Footer"/>
      <w:jc w:val="center"/>
    </w:pPr>
    <w:r>
      <w:t>Voluntary Framework for Accountability– Fall 2012</w:t>
    </w:r>
  </w:p>
  <w:p w:rsidR="004A6CBB" w:rsidRDefault="004A6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BB" w:rsidRDefault="004A6CBB" w:rsidP="003B410A">
      <w:pPr>
        <w:spacing w:line="240" w:lineRule="auto"/>
      </w:pPr>
      <w:r>
        <w:separator/>
      </w:r>
    </w:p>
  </w:footnote>
  <w:footnote w:type="continuationSeparator" w:id="0">
    <w:p w:rsidR="004A6CBB" w:rsidRDefault="004A6CBB" w:rsidP="003B41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3D8"/>
    <w:multiLevelType w:val="hybridMultilevel"/>
    <w:tmpl w:val="FFF61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375BA5"/>
    <w:multiLevelType w:val="multilevel"/>
    <w:tmpl w:val="21A623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B2202"/>
    <w:multiLevelType w:val="multilevel"/>
    <w:tmpl w:val="21A623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B410A"/>
    <w:rsid w:val="000200DA"/>
    <w:rsid w:val="000A0A13"/>
    <w:rsid w:val="000C181D"/>
    <w:rsid w:val="000F762F"/>
    <w:rsid w:val="001617C5"/>
    <w:rsid w:val="00171192"/>
    <w:rsid w:val="00202BCC"/>
    <w:rsid w:val="00234F88"/>
    <w:rsid w:val="00272AC6"/>
    <w:rsid w:val="002B7D7D"/>
    <w:rsid w:val="002C2C2D"/>
    <w:rsid w:val="00303C1B"/>
    <w:rsid w:val="003B410A"/>
    <w:rsid w:val="00442527"/>
    <w:rsid w:val="00493DE2"/>
    <w:rsid w:val="004A6CBB"/>
    <w:rsid w:val="004C2A98"/>
    <w:rsid w:val="004D744D"/>
    <w:rsid w:val="005B1333"/>
    <w:rsid w:val="006148EF"/>
    <w:rsid w:val="0063526A"/>
    <w:rsid w:val="00683B28"/>
    <w:rsid w:val="006E0E70"/>
    <w:rsid w:val="006E68E0"/>
    <w:rsid w:val="007135A3"/>
    <w:rsid w:val="007633E8"/>
    <w:rsid w:val="00811410"/>
    <w:rsid w:val="00825EB8"/>
    <w:rsid w:val="00852756"/>
    <w:rsid w:val="0088369E"/>
    <w:rsid w:val="00975D3E"/>
    <w:rsid w:val="00982183"/>
    <w:rsid w:val="009C1FF5"/>
    <w:rsid w:val="00A972BD"/>
    <w:rsid w:val="00AB1252"/>
    <w:rsid w:val="00AF261F"/>
    <w:rsid w:val="00B13F80"/>
    <w:rsid w:val="00C2266C"/>
    <w:rsid w:val="00C26854"/>
    <w:rsid w:val="00C33D12"/>
    <w:rsid w:val="00C70E5A"/>
    <w:rsid w:val="00C83B26"/>
    <w:rsid w:val="00CC49B1"/>
    <w:rsid w:val="00D07B04"/>
    <w:rsid w:val="00D5195B"/>
    <w:rsid w:val="00DF24F3"/>
    <w:rsid w:val="00DF5F69"/>
    <w:rsid w:val="00E56C93"/>
    <w:rsid w:val="00EE08A0"/>
    <w:rsid w:val="00EF4C99"/>
    <w:rsid w:val="00F057D7"/>
    <w:rsid w:val="00F25754"/>
    <w:rsid w:val="00FE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10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B410A"/>
  </w:style>
  <w:style w:type="paragraph" w:styleId="Footer">
    <w:name w:val="footer"/>
    <w:basedOn w:val="Normal"/>
    <w:link w:val="FooterChar"/>
    <w:uiPriority w:val="99"/>
    <w:unhideWhenUsed/>
    <w:rsid w:val="003B410A"/>
    <w:pPr>
      <w:tabs>
        <w:tab w:val="center" w:pos="4680"/>
        <w:tab w:val="right" w:pos="9360"/>
      </w:tabs>
      <w:spacing w:line="240" w:lineRule="auto"/>
    </w:pPr>
  </w:style>
  <w:style w:type="character" w:customStyle="1" w:styleId="FooterChar">
    <w:name w:val="Footer Char"/>
    <w:basedOn w:val="DefaultParagraphFont"/>
    <w:link w:val="Footer"/>
    <w:uiPriority w:val="99"/>
    <w:rsid w:val="003B410A"/>
  </w:style>
  <w:style w:type="character" w:styleId="Hyperlink">
    <w:name w:val="Hyperlink"/>
    <w:basedOn w:val="DefaultParagraphFont"/>
    <w:uiPriority w:val="99"/>
    <w:unhideWhenUsed/>
    <w:rsid w:val="00F057D7"/>
    <w:rPr>
      <w:color w:val="0000FF" w:themeColor="hyperlink"/>
      <w:u w:val="single"/>
    </w:rPr>
  </w:style>
  <w:style w:type="paragraph" w:styleId="ListParagraph">
    <w:name w:val="List Paragraph"/>
    <w:basedOn w:val="Normal"/>
    <w:uiPriority w:val="34"/>
    <w:qFormat/>
    <w:rsid w:val="00F057D7"/>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7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D7"/>
    <w:rPr>
      <w:rFonts w:ascii="Tahoma" w:hAnsi="Tahoma" w:cs="Tahoma"/>
      <w:sz w:val="16"/>
      <w:szCs w:val="16"/>
    </w:rPr>
  </w:style>
  <w:style w:type="paragraph" w:styleId="NormalWeb">
    <w:name w:val="Normal (Web)"/>
    <w:basedOn w:val="Normal"/>
    <w:uiPriority w:val="99"/>
    <w:semiHidden/>
    <w:unhideWhenUsed/>
    <w:rsid w:val="00975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D3E"/>
    <w:rPr>
      <w:b/>
      <w:bCs/>
    </w:rPr>
  </w:style>
</w:styles>
</file>

<file path=word/webSettings.xml><?xml version="1.0" encoding="utf-8"?>
<w:webSettings xmlns:r="http://schemas.openxmlformats.org/officeDocument/2006/relationships" xmlns:w="http://schemas.openxmlformats.org/wordprocessingml/2006/main">
  <w:divs>
    <w:div w:id="1078937605">
      <w:bodyDiv w:val="1"/>
      <w:marLeft w:val="0"/>
      <w:marRight w:val="0"/>
      <w:marTop w:val="0"/>
      <w:marBottom w:val="0"/>
      <w:divBdr>
        <w:top w:val="none" w:sz="0" w:space="0" w:color="auto"/>
        <w:left w:val="none" w:sz="0" w:space="0" w:color="auto"/>
        <w:bottom w:val="none" w:sz="0" w:space="0" w:color="auto"/>
        <w:right w:val="none" w:sz="0" w:space="0" w:color="auto"/>
      </w:divBdr>
      <w:divsChild>
        <w:div w:id="1137524485">
          <w:marLeft w:val="0"/>
          <w:marRight w:val="0"/>
          <w:marTop w:val="0"/>
          <w:marBottom w:val="0"/>
          <w:divBdr>
            <w:top w:val="none" w:sz="0" w:space="0" w:color="auto"/>
            <w:left w:val="none" w:sz="0" w:space="0" w:color="auto"/>
            <w:bottom w:val="none" w:sz="0" w:space="0" w:color="auto"/>
            <w:right w:val="none" w:sz="0" w:space="0" w:color="auto"/>
          </w:divBdr>
          <w:divsChild>
            <w:div w:id="1856266205">
              <w:marLeft w:val="540"/>
              <w:marRight w:val="540"/>
              <w:marTop w:val="135"/>
              <w:marBottom w:val="135"/>
              <w:divBdr>
                <w:top w:val="none" w:sz="0" w:space="0" w:color="auto"/>
                <w:left w:val="none" w:sz="0" w:space="0" w:color="auto"/>
                <w:bottom w:val="none" w:sz="0" w:space="0" w:color="auto"/>
                <w:right w:val="none" w:sz="0" w:space="0" w:color="auto"/>
              </w:divBdr>
            </w:div>
          </w:divsChild>
        </w:div>
      </w:divsChild>
    </w:div>
    <w:div w:id="1278637860">
      <w:bodyDiv w:val="1"/>
      <w:marLeft w:val="0"/>
      <w:marRight w:val="0"/>
      <w:marTop w:val="0"/>
      <w:marBottom w:val="0"/>
      <w:divBdr>
        <w:top w:val="none" w:sz="0" w:space="0" w:color="auto"/>
        <w:left w:val="none" w:sz="0" w:space="0" w:color="auto"/>
        <w:bottom w:val="none" w:sz="0" w:space="0" w:color="auto"/>
        <w:right w:val="none" w:sz="0" w:space="0" w:color="auto"/>
      </w:divBdr>
      <w:divsChild>
        <w:div w:id="1834223255">
          <w:marLeft w:val="0"/>
          <w:marRight w:val="0"/>
          <w:marTop w:val="0"/>
          <w:marBottom w:val="0"/>
          <w:divBdr>
            <w:top w:val="none" w:sz="0" w:space="0" w:color="auto"/>
            <w:left w:val="none" w:sz="0" w:space="0" w:color="auto"/>
            <w:bottom w:val="none" w:sz="0" w:space="0" w:color="auto"/>
            <w:right w:val="none" w:sz="0" w:space="0" w:color="auto"/>
          </w:divBdr>
          <w:divsChild>
            <w:div w:id="1348290254">
              <w:marLeft w:val="540"/>
              <w:marRight w:val="540"/>
              <w:marTop w:val="135"/>
              <w:marBottom w:val="135"/>
              <w:divBdr>
                <w:top w:val="none" w:sz="0" w:space="0" w:color="auto"/>
                <w:left w:val="none" w:sz="0" w:space="0" w:color="auto"/>
                <w:bottom w:val="none" w:sz="0" w:space="0" w:color="auto"/>
                <w:right w:val="none" w:sz="0" w:space="0" w:color="auto"/>
              </w:divBdr>
            </w:div>
          </w:divsChild>
        </w:div>
      </w:divsChild>
    </w:div>
    <w:div w:id="1642614859">
      <w:bodyDiv w:val="1"/>
      <w:marLeft w:val="0"/>
      <w:marRight w:val="0"/>
      <w:marTop w:val="0"/>
      <w:marBottom w:val="0"/>
      <w:divBdr>
        <w:top w:val="none" w:sz="0" w:space="0" w:color="auto"/>
        <w:left w:val="none" w:sz="0" w:space="0" w:color="auto"/>
        <w:bottom w:val="none" w:sz="0" w:space="0" w:color="auto"/>
        <w:right w:val="none" w:sz="0" w:space="0" w:color="auto"/>
      </w:divBdr>
      <w:divsChild>
        <w:div w:id="213928671">
          <w:marLeft w:val="0"/>
          <w:marRight w:val="0"/>
          <w:marTop w:val="0"/>
          <w:marBottom w:val="0"/>
          <w:divBdr>
            <w:top w:val="none" w:sz="0" w:space="0" w:color="auto"/>
            <w:left w:val="none" w:sz="0" w:space="0" w:color="auto"/>
            <w:bottom w:val="none" w:sz="0" w:space="0" w:color="auto"/>
            <w:right w:val="none" w:sz="0" w:space="0" w:color="auto"/>
          </w:divBdr>
          <w:divsChild>
            <w:div w:id="1180659260">
              <w:marLeft w:val="0"/>
              <w:marRight w:val="0"/>
              <w:marTop w:val="0"/>
              <w:marBottom w:val="0"/>
              <w:divBdr>
                <w:top w:val="single" w:sz="6" w:space="1" w:color="DFDFE2"/>
                <w:left w:val="single" w:sz="6" w:space="1" w:color="DFDFE2"/>
                <w:bottom w:val="single" w:sz="6" w:space="1" w:color="DFDFE2"/>
                <w:right w:val="single" w:sz="6" w:space="1" w:color="DFDFE2"/>
              </w:divBdr>
              <w:divsChild>
                <w:div w:id="9765042">
                  <w:marLeft w:val="0"/>
                  <w:marRight w:val="0"/>
                  <w:marTop w:val="0"/>
                  <w:marBottom w:val="0"/>
                  <w:divBdr>
                    <w:top w:val="single" w:sz="6" w:space="8" w:color="D4D3D6"/>
                    <w:left w:val="single" w:sz="6" w:space="8" w:color="D4D3D6"/>
                    <w:bottom w:val="single" w:sz="6" w:space="8" w:color="D4D3D6"/>
                    <w:right w:val="single" w:sz="6" w:space="8" w:color="D4D3D6"/>
                  </w:divBdr>
                  <w:divsChild>
                    <w:div w:id="1783570794">
                      <w:marLeft w:val="0"/>
                      <w:marRight w:val="0"/>
                      <w:marTop w:val="0"/>
                      <w:marBottom w:val="0"/>
                      <w:divBdr>
                        <w:top w:val="none" w:sz="0" w:space="0" w:color="auto"/>
                        <w:left w:val="none" w:sz="0" w:space="0" w:color="auto"/>
                        <w:bottom w:val="none" w:sz="0" w:space="0" w:color="auto"/>
                        <w:right w:val="none" w:sz="0" w:space="0" w:color="auto"/>
                      </w:divBdr>
                      <w:divsChild>
                        <w:div w:id="1357345759">
                          <w:marLeft w:val="0"/>
                          <w:marRight w:val="0"/>
                          <w:marTop w:val="0"/>
                          <w:marBottom w:val="0"/>
                          <w:divBdr>
                            <w:top w:val="none" w:sz="0" w:space="0" w:color="auto"/>
                            <w:left w:val="none" w:sz="0" w:space="0" w:color="auto"/>
                            <w:bottom w:val="none" w:sz="0" w:space="0" w:color="auto"/>
                            <w:right w:val="none" w:sz="0" w:space="0" w:color="auto"/>
                          </w:divBdr>
                          <w:divsChild>
                            <w:div w:id="5345430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07864">
      <w:bodyDiv w:val="1"/>
      <w:marLeft w:val="0"/>
      <w:marRight w:val="0"/>
      <w:marTop w:val="0"/>
      <w:marBottom w:val="0"/>
      <w:divBdr>
        <w:top w:val="none" w:sz="0" w:space="0" w:color="auto"/>
        <w:left w:val="none" w:sz="0" w:space="0" w:color="auto"/>
        <w:bottom w:val="none" w:sz="0" w:space="0" w:color="auto"/>
        <w:right w:val="none" w:sz="0" w:space="0" w:color="auto"/>
      </w:divBdr>
      <w:divsChild>
        <w:div w:id="586159205">
          <w:marLeft w:val="0"/>
          <w:marRight w:val="0"/>
          <w:marTop w:val="0"/>
          <w:marBottom w:val="0"/>
          <w:divBdr>
            <w:top w:val="none" w:sz="0" w:space="0" w:color="auto"/>
            <w:left w:val="none" w:sz="0" w:space="0" w:color="auto"/>
            <w:bottom w:val="none" w:sz="0" w:space="0" w:color="auto"/>
            <w:right w:val="none" w:sz="0" w:space="0" w:color="auto"/>
          </w:divBdr>
          <w:divsChild>
            <w:div w:id="1997225766">
              <w:marLeft w:val="0"/>
              <w:marRight w:val="0"/>
              <w:marTop w:val="0"/>
              <w:marBottom w:val="0"/>
              <w:divBdr>
                <w:top w:val="single" w:sz="6" w:space="1" w:color="DFDFE2"/>
                <w:left w:val="single" w:sz="6" w:space="1" w:color="DFDFE2"/>
                <w:bottom w:val="single" w:sz="6" w:space="1" w:color="DFDFE2"/>
                <w:right w:val="single" w:sz="6" w:space="1" w:color="DFDFE2"/>
              </w:divBdr>
              <w:divsChild>
                <w:div w:id="896934067">
                  <w:marLeft w:val="0"/>
                  <w:marRight w:val="0"/>
                  <w:marTop w:val="0"/>
                  <w:marBottom w:val="0"/>
                  <w:divBdr>
                    <w:top w:val="single" w:sz="6" w:space="8" w:color="D4D3D6"/>
                    <w:left w:val="single" w:sz="6" w:space="8" w:color="D4D3D6"/>
                    <w:bottom w:val="single" w:sz="6" w:space="8" w:color="D4D3D6"/>
                    <w:right w:val="single" w:sz="6" w:space="8" w:color="D4D3D6"/>
                  </w:divBdr>
                  <w:divsChild>
                    <w:div w:id="2128770484">
                      <w:marLeft w:val="0"/>
                      <w:marRight w:val="0"/>
                      <w:marTop w:val="0"/>
                      <w:marBottom w:val="0"/>
                      <w:divBdr>
                        <w:top w:val="none" w:sz="0" w:space="0" w:color="auto"/>
                        <w:left w:val="none" w:sz="0" w:space="0" w:color="auto"/>
                        <w:bottom w:val="none" w:sz="0" w:space="0" w:color="auto"/>
                        <w:right w:val="none" w:sz="0" w:space="0" w:color="auto"/>
                      </w:divBdr>
                      <w:divsChild>
                        <w:div w:id="1469055143">
                          <w:marLeft w:val="0"/>
                          <w:marRight w:val="0"/>
                          <w:marTop w:val="0"/>
                          <w:marBottom w:val="0"/>
                          <w:divBdr>
                            <w:top w:val="none" w:sz="0" w:space="0" w:color="auto"/>
                            <w:left w:val="none" w:sz="0" w:space="0" w:color="auto"/>
                            <w:bottom w:val="none" w:sz="0" w:space="0" w:color="auto"/>
                            <w:right w:val="none" w:sz="0" w:space="0" w:color="auto"/>
                          </w:divBdr>
                          <w:divsChild>
                            <w:div w:id="8682988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acc.nche.edu/Resources/aaccprograms/VFAWeb/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Pettitt</dc:creator>
  <cp:keywords/>
  <dc:description/>
  <cp:lastModifiedBy>Dr. M Pettitt</cp:lastModifiedBy>
  <cp:revision>7</cp:revision>
  <cp:lastPrinted>2012-10-16T17:36:00Z</cp:lastPrinted>
  <dcterms:created xsi:type="dcterms:W3CDTF">2012-10-16T17:12:00Z</dcterms:created>
  <dcterms:modified xsi:type="dcterms:W3CDTF">2012-10-16T18:22:00Z</dcterms:modified>
</cp:coreProperties>
</file>